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0E5" w:rsidRPr="008C1D69" w:rsidRDefault="00F050E5" w:rsidP="00F050E5">
      <w:pPr>
        <w:rPr>
          <w:rFonts w:ascii="Century Gothic" w:hAnsi="Century Gothic"/>
          <w:sz w:val="20"/>
          <w:szCs w:val="20"/>
        </w:rPr>
      </w:pPr>
      <w:r w:rsidRPr="008C1D69">
        <w:rPr>
          <w:rFonts w:ascii="Century Gothic" w:hAnsi="Century Gothic"/>
          <w:sz w:val="20"/>
          <w:szCs w:val="20"/>
        </w:rPr>
        <w:t xml:space="preserve">This rehabilitation program is designed for use following trigger </w:t>
      </w:r>
      <w:r>
        <w:rPr>
          <w:rFonts w:ascii="Century Gothic" w:hAnsi="Century Gothic"/>
          <w:sz w:val="20"/>
          <w:szCs w:val="20"/>
        </w:rPr>
        <w:t xml:space="preserve">thumb </w:t>
      </w:r>
      <w:r w:rsidRPr="008C1D69">
        <w:rPr>
          <w:rFonts w:ascii="Century Gothic" w:hAnsi="Century Gothic"/>
          <w:sz w:val="20"/>
          <w:szCs w:val="20"/>
        </w:rPr>
        <w:t xml:space="preserve">release surgery. It is designed to progress the individual through rehab to activity participation taking into consideration specific patient needs and issues.  Modifications to this guideline may be necessary dependent on physician specific instruction or other procedures performed. This evidence-based </w:t>
      </w:r>
      <w:r>
        <w:rPr>
          <w:rFonts w:ascii="Century Gothic" w:hAnsi="Century Gothic"/>
          <w:sz w:val="20"/>
          <w:szCs w:val="20"/>
        </w:rPr>
        <w:t>trigger thumb</w:t>
      </w:r>
      <w:r w:rsidRPr="008C1D69">
        <w:rPr>
          <w:rFonts w:ascii="Century Gothic" w:hAnsi="Century Gothic"/>
          <w:sz w:val="20"/>
          <w:szCs w:val="20"/>
        </w:rPr>
        <w:t xml:space="preserve"> release guideline is criterion-based; time frames and visits in each phase will vary depending on many factors. The therapist may modify the program appropriately depending on the individual’s goals for activity following trigger finger release.</w:t>
      </w:r>
    </w:p>
    <w:p w:rsidR="00F050E5" w:rsidRPr="008C1D69" w:rsidRDefault="00F050E5" w:rsidP="00F050E5">
      <w:pPr>
        <w:rPr>
          <w:rFonts w:ascii="Century Gothic" w:hAnsi="Century Gothic"/>
          <w:sz w:val="20"/>
          <w:szCs w:val="20"/>
        </w:rPr>
      </w:pPr>
      <w:r w:rsidRPr="008C1D69">
        <w:rPr>
          <w:rFonts w:ascii="Century Gothic" w:hAnsi="Century Gothic"/>
          <w:sz w:val="20"/>
          <w:szCs w:val="20"/>
        </w:rPr>
        <w:t xml:space="preserve">This guideline is intended to provide the treating clinician a frame of reference for rehabilitation. It is not intended to substitute clinical judgment regarding the patient’s post-operative care based on exam/treatment findings, individual progress, and/or the presence of concomitant procedures or post-operative complications. If the clinician should have questions regarding post-operative progression, they should contact the referring physician. </w:t>
      </w:r>
    </w:p>
    <w:p w:rsidR="00F050E5" w:rsidRPr="008C1D69" w:rsidRDefault="00F050E5" w:rsidP="00F050E5">
      <w:pPr>
        <w:rPr>
          <w:rFonts w:ascii="Century Gothic" w:hAnsi="Century Gothic"/>
          <w:sz w:val="20"/>
          <w:szCs w:val="20"/>
        </w:rPr>
      </w:pPr>
      <w:r w:rsidRPr="008C1D69">
        <w:rPr>
          <w:rFonts w:ascii="Century Gothic" w:hAnsi="Century Gothic"/>
          <w:b/>
          <w:sz w:val="20"/>
          <w:szCs w:val="20"/>
          <w:u w:val="single"/>
        </w:rPr>
        <w:t>General Guidelines/Precautions:</w:t>
      </w:r>
    </w:p>
    <w:p w:rsidR="00F050E5" w:rsidRPr="008C1D69" w:rsidRDefault="00F050E5" w:rsidP="00F050E5">
      <w:pPr>
        <w:pStyle w:val="paragraph--default"/>
        <w:shd w:val="clear" w:color="auto" w:fill="FFFFFF"/>
        <w:spacing w:before="0" w:beforeAutospacing="0" w:after="0" w:afterAutospacing="0" w:line="315" w:lineRule="atLeast"/>
        <w:rPr>
          <w:rFonts w:ascii="Century Gothic" w:hAnsi="Century Gothic" w:cs="Arial"/>
          <w:sz w:val="20"/>
          <w:szCs w:val="20"/>
        </w:rPr>
      </w:pPr>
      <w:r w:rsidRPr="008C1D69">
        <w:rPr>
          <w:rFonts w:ascii="Century Gothic" w:hAnsi="Century Gothic"/>
          <w:sz w:val="20"/>
          <w:szCs w:val="20"/>
        </w:rPr>
        <w:t xml:space="preserve">The goal of the surgery is to </w:t>
      </w:r>
      <w:r w:rsidRPr="008C1D69">
        <w:rPr>
          <w:rFonts w:ascii="Century Gothic" w:hAnsi="Century Gothic" w:cs="Arial"/>
          <w:sz w:val="20"/>
          <w:szCs w:val="20"/>
        </w:rPr>
        <w:t>enlarge the tendon sheath at its leading edge, which allows the tendon to again glide without locking or catching. A transverse incision is made along the A1 pulley at the MP joint flexion crease of the thumb. Once the tendon sheath has been enlarged, the patient is often asked to move their thumb to confirm that triggering no longer exists.</w:t>
      </w:r>
    </w:p>
    <w:p w:rsidR="00F050E5" w:rsidRPr="008C1D69" w:rsidRDefault="00F050E5" w:rsidP="00F050E5">
      <w:pPr>
        <w:pStyle w:val="paragraph--default"/>
        <w:shd w:val="clear" w:color="auto" w:fill="FFFFFF"/>
        <w:spacing w:before="0" w:beforeAutospacing="0" w:after="0" w:afterAutospacing="0" w:line="315" w:lineRule="atLeast"/>
        <w:rPr>
          <w:rFonts w:ascii="Century Gothic" w:hAnsi="Century Gothic" w:cs="Arial"/>
          <w:color w:val="888888"/>
          <w:sz w:val="20"/>
          <w:szCs w:val="20"/>
        </w:rPr>
      </w:pPr>
    </w:p>
    <w:p w:rsidR="00F050E5" w:rsidRPr="008C1D69" w:rsidRDefault="00F050E5" w:rsidP="00F050E5">
      <w:pPr>
        <w:pStyle w:val="paragraph--default"/>
        <w:shd w:val="clear" w:color="auto" w:fill="FFFFFF"/>
        <w:spacing w:before="0" w:beforeAutospacing="0" w:after="0" w:afterAutospacing="0" w:line="315" w:lineRule="atLeast"/>
        <w:rPr>
          <w:rFonts w:ascii="Century Gothic" w:hAnsi="Century Gothic"/>
          <w:sz w:val="20"/>
          <w:szCs w:val="20"/>
        </w:rPr>
      </w:pPr>
      <w:r w:rsidRPr="008C1D69">
        <w:rPr>
          <w:rFonts w:ascii="Century Gothic" w:hAnsi="Century Gothic"/>
          <w:sz w:val="20"/>
          <w:szCs w:val="20"/>
        </w:rPr>
        <w:t xml:space="preserve">Considerations: </w:t>
      </w:r>
    </w:p>
    <w:p w:rsidR="00F050E5" w:rsidRPr="008C1D69" w:rsidRDefault="00F050E5" w:rsidP="00F050E5">
      <w:pPr>
        <w:pStyle w:val="ListParagraph"/>
        <w:numPr>
          <w:ilvl w:val="0"/>
          <w:numId w:val="1"/>
        </w:numPr>
        <w:shd w:val="clear" w:color="auto" w:fill="FFFFFF"/>
        <w:spacing w:after="0" w:line="315" w:lineRule="atLeast"/>
        <w:rPr>
          <w:rFonts w:ascii="Century Gothic" w:eastAsia="Times New Roman" w:hAnsi="Century Gothic" w:cs="Arial"/>
          <w:sz w:val="20"/>
          <w:szCs w:val="20"/>
        </w:rPr>
      </w:pPr>
      <w:r w:rsidRPr="008C1D69">
        <w:rPr>
          <w:rFonts w:ascii="Century Gothic" w:eastAsia="Times New Roman" w:hAnsi="Century Gothic" w:cs="Arial"/>
          <w:sz w:val="20"/>
          <w:szCs w:val="20"/>
        </w:rPr>
        <w:t>Recurrences of triggering are quite rare. Scar tissue formation can be a factor.</w:t>
      </w:r>
    </w:p>
    <w:p w:rsidR="00F050E5" w:rsidRDefault="00F050E5" w:rsidP="00F050E5">
      <w:pPr>
        <w:pStyle w:val="ListParagraph"/>
        <w:numPr>
          <w:ilvl w:val="0"/>
          <w:numId w:val="1"/>
        </w:numPr>
        <w:shd w:val="clear" w:color="auto" w:fill="FFFFFF"/>
        <w:spacing w:after="0" w:line="315" w:lineRule="atLeast"/>
        <w:rPr>
          <w:rFonts w:ascii="Century Gothic" w:eastAsia="Times New Roman" w:hAnsi="Century Gothic" w:cs="Arial"/>
          <w:sz w:val="20"/>
          <w:szCs w:val="20"/>
        </w:rPr>
      </w:pPr>
      <w:r w:rsidRPr="008C1D69">
        <w:rPr>
          <w:rFonts w:ascii="Century Gothic" w:eastAsia="Times New Roman" w:hAnsi="Century Gothic" w:cs="Arial"/>
          <w:sz w:val="20"/>
          <w:szCs w:val="20"/>
        </w:rPr>
        <w:t xml:space="preserve">Typically, patients do well on a home program with the guidelines provided within 1-3 visits. </w:t>
      </w:r>
    </w:p>
    <w:p w:rsidR="00F050E5" w:rsidRPr="008C1D69" w:rsidRDefault="00F050E5" w:rsidP="00F050E5">
      <w:pPr>
        <w:pStyle w:val="ListParagraph"/>
        <w:shd w:val="clear" w:color="auto" w:fill="FFFFFF"/>
        <w:spacing w:after="0" w:line="315" w:lineRule="atLeast"/>
        <w:ind w:left="630"/>
        <w:rPr>
          <w:rFonts w:ascii="Century Gothic" w:eastAsia="Times New Roman" w:hAnsi="Century Gothic" w:cs="Arial"/>
          <w:sz w:val="20"/>
          <w:szCs w:val="20"/>
        </w:rPr>
      </w:pPr>
    </w:p>
    <w:p w:rsidR="00F050E5" w:rsidRDefault="00F050E5" w:rsidP="00F050E5">
      <w:r>
        <w:br w:type="page"/>
      </w:r>
    </w:p>
    <w:tbl>
      <w:tblPr>
        <w:tblStyle w:val="TableGrid"/>
        <w:tblW w:w="0" w:type="auto"/>
        <w:tblLook w:val="04A0" w:firstRow="1" w:lastRow="0" w:firstColumn="1" w:lastColumn="0" w:noHBand="0" w:noVBand="1"/>
      </w:tblPr>
      <w:tblGrid>
        <w:gridCol w:w="2515"/>
        <w:gridCol w:w="6118"/>
        <w:gridCol w:w="4317"/>
      </w:tblGrid>
      <w:tr w:rsidR="00F050E5" w:rsidRPr="008C1D69" w:rsidTr="00171997">
        <w:trPr>
          <w:trHeight w:val="288"/>
        </w:trPr>
        <w:tc>
          <w:tcPr>
            <w:tcW w:w="2515" w:type="dxa"/>
            <w:tcBorders>
              <w:top w:val="double" w:sz="4" w:space="0" w:color="auto"/>
              <w:bottom w:val="double" w:sz="4" w:space="0" w:color="auto"/>
            </w:tcBorders>
            <w:shd w:val="clear" w:color="auto" w:fill="C9C9C9" w:themeFill="accent3" w:themeFillTint="99"/>
          </w:tcPr>
          <w:p w:rsidR="00F050E5" w:rsidRPr="008C1D69" w:rsidRDefault="00F050E5" w:rsidP="00171997">
            <w:pPr>
              <w:jc w:val="center"/>
              <w:rPr>
                <w:rFonts w:ascii="Century Gothic" w:hAnsi="Century Gothic"/>
                <w:b/>
                <w:sz w:val="20"/>
                <w:szCs w:val="20"/>
              </w:rPr>
            </w:pPr>
            <w:r w:rsidRPr="008C1D69">
              <w:rPr>
                <w:rFonts w:ascii="Century Gothic" w:hAnsi="Century Gothic"/>
                <w:b/>
                <w:sz w:val="20"/>
                <w:szCs w:val="20"/>
              </w:rPr>
              <w:lastRenderedPageBreak/>
              <w:t>Phase</w:t>
            </w:r>
          </w:p>
        </w:tc>
        <w:tc>
          <w:tcPr>
            <w:tcW w:w="6118" w:type="dxa"/>
            <w:tcBorders>
              <w:top w:val="double" w:sz="4" w:space="0" w:color="auto"/>
              <w:bottom w:val="double" w:sz="4" w:space="0" w:color="auto"/>
            </w:tcBorders>
            <w:shd w:val="clear" w:color="auto" w:fill="C9C9C9" w:themeFill="accent3" w:themeFillTint="99"/>
          </w:tcPr>
          <w:p w:rsidR="00F050E5" w:rsidRPr="008C1D69" w:rsidRDefault="00F050E5" w:rsidP="00171997">
            <w:pPr>
              <w:jc w:val="center"/>
              <w:rPr>
                <w:rFonts w:ascii="Century Gothic" w:hAnsi="Century Gothic"/>
                <w:b/>
                <w:sz w:val="20"/>
                <w:szCs w:val="20"/>
              </w:rPr>
            </w:pPr>
            <w:r w:rsidRPr="008C1D69">
              <w:rPr>
                <w:rFonts w:ascii="Century Gothic" w:hAnsi="Century Gothic"/>
                <w:b/>
                <w:sz w:val="20"/>
                <w:szCs w:val="20"/>
              </w:rPr>
              <w:t>Suggested Interventions</w:t>
            </w:r>
          </w:p>
        </w:tc>
        <w:tc>
          <w:tcPr>
            <w:tcW w:w="4317" w:type="dxa"/>
            <w:tcBorders>
              <w:top w:val="double" w:sz="4" w:space="0" w:color="auto"/>
              <w:bottom w:val="double" w:sz="4" w:space="0" w:color="auto"/>
            </w:tcBorders>
            <w:shd w:val="clear" w:color="auto" w:fill="C9C9C9" w:themeFill="accent3" w:themeFillTint="99"/>
          </w:tcPr>
          <w:p w:rsidR="00F050E5" w:rsidRPr="008C1D69" w:rsidRDefault="00F050E5" w:rsidP="00171997">
            <w:pPr>
              <w:jc w:val="center"/>
              <w:rPr>
                <w:rFonts w:ascii="Century Gothic" w:hAnsi="Century Gothic"/>
                <w:b/>
                <w:sz w:val="20"/>
                <w:szCs w:val="20"/>
              </w:rPr>
            </w:pPr>
            <w:r w:rsidRPr="008C1D69">
              <w:rPr>
                <w:rFonts w:ascii="Century Gothic" w:hAnsi="Century Gothic"/>
                <w:b/>
                <w:sz w:val="20"/>
                <w:szCs w:val="20"/>
              </w:rPr>
              <w:t>Goals/Milestones for Progression</w:t>
            </w:r>
          </w:p>
        </w:tc>
      </w:tr>
      <w:tr w:rsidR="00F050E5" w:rsidRPr="008C1D69" w:rsidTr="00171997">
        <w:trPr>
          <w:trHeight w:val="1140"/>
        </w:trPr>
        <w:tc>
          <w:tcPr>
            <w:tcW w:w="2515" w:type="dxa"/>
            <w:tcBorders>
              <w:top w:val="double" w:sz="4" w:space="0" w:color="auto"/>
            </w:tcBorders>
          </w:tcPr>
          <w:p w:rsidR="00F050E5" w:rsidRPr="008C1D69" w:rsidRDefault="00F050E5" w:rsidP="00171997">
            <w:pPr>
              <w:rPr>
                <w:rFonts w:ascii="Century Gothic" w:hAnsi="Century Gothic"/>
                <w:b/>
                <w:sz w:val="20"/>
                <w:szCs w:val="20"/>
              </w:rPr>
            </w:pPr>
            <w:r w:rsidRPr="008C1D69">
              <w:rPr>
                <w:rFonts w:ascii="Century Gothic" w:hAnsi="Century Gothic"/>
                <w:b/>
                <w:sz w:val="20"/>
                <w:szCs w:val="20"/>
              </w:rPr>
              <w:t>Phase I</w:t>
            </w:r>
          </w:p>
          <w:p w:rsidR="00F050E5" w:rsidRPr="008C1D69" w:rsidRDefault="00F050E5" w:rsidP="00171997">
            <w:pPr>
              <w:rPr>
                <w:rFonts w:ascii="Century Gothic" w:hAnsi="Century Gothic"/>
                <w:b/>
                <w:sz w:val="20"/>
                <w:szCs w:val="20"/>
              </w:rPr>
            </w:pPr>
          </w:p>
          <w:p w:rsidR="00F050E5" w:rsidRPr="008C1D69" w:rsidRDefault="00F050E5" w:rsidP="00171997">
            <w:pPr>
              <w:rPr>
                <w:rFonts w:ascii="Century Gothic" w:hAnsi="Century Gothic"/>
                <w:sz w:val="20"/>
                <w:szCs w:val="20"/>
              </w:rPr>
            </w:pPr>
            <w:r w:rsidRPr="008C1D69">
              <w:rPr>
                <w:rFonts w:ascii="Century Gothic" w:hAnsi="Century Gothic"/>
                <w:sz w:val="20"/>
                <w:szCs w:val="20"/>
              </w:rPr>
              <w:t>Early Intervention</w:t>
            </w:r>
          </w:p>
        </w:tc>
        <w:tc>
          <w:tcPr>
            <w:tcW w:w="6118" w:type="dxa"/>
            <w:tcBorders>
              <w:top w:val="double" w:sz="4" w:space="0" w:color="auto"/>
            </w:tcBorders>
          </w:tcPr>
          <w:p w:rsidR="00F050E5" w:rsidRPr="008C1D69" w:rsidRDefault="00F050E5" w:rsidP="00171997">
            <w:pPr>
              <w:rPr>
                <w:rFonts w:ascii="Century Gothic" w:hAnsi="Century Gothic"/>
                <w:sz w:val="20"/>
                <w:szCs w:val="20"/>
              </w:rPr>
            </w:pPr>
            <w:r w:rsidRPr="008C1D69">
              <w:rPr>
                <w:rFonts w:ascii="Century Gothic" w:hAnsi="Century Gothic"/>
                <w:sz w:val="20"/>
                <w:szCs w:val="20"/>
              </w:rPr>
              <w:t>48-72 hours post-op:</w:t>
            </w:r>
          </w:p>
          <w:p w:rsidR="00F050E5" w:rsidRPr="008C1D69" w:rsidRDefault="00F050E5" w:rsidP="00171997">
            <w:pPr>
              <w:ind w:left="288"/>
              <w:rPr>
                <w:rFonts w:ascii="Century Gothic" w:hAnsi="Century Gothic"/>
                <w:sz w:val="20"/>
                <w:szCs w:val="20"/>
              </w:rPr>
            </w:pPr>
          </w:p>
          <w:p w:rsidR="00F050E5" w:rsidRPr="008C1D69" w:rsidRDefault="00F050E5" w:rsidP="00171997">
            <w:pPr>
              <w:ind w:left="720"/>
              <w:rPr>
                <w:rFonts w:ascii="Century Gothic" w:hAnsi="Century Gothic"/>
                <w:sz w:val="20"/>
                <w:szCs w:val="20"/>
              </w:rPr>
            </w:pPr>
            <w:r w:rsidRPr="008C1D69">
              <w:rPr>
                <w:rFonts w:ascii="Century Gothic" w:hAnsi="Century Gothic"/>
                <w:sz w:val="20"/>
                <w:szCs w:val="20"/>
              </w:rPr>
              <w:t xml:space="preserve">-Hand-based dressing is removed and a light dressing is applied. </w:t>
            </w:r>
            <w:r w:rsidRPr="008C1D69">
              <w:rPr>
                <w:rFonts w:ascii="Century Gothic" w:hAnsi="Century Gothic"/>
                <w:sz w:val="20"/>
                <w:szCs w:val="20"/>
              </w:rPr>
              <w:tab/>
            </w:r>
          </w:p>
          <w:p w:rsidR="00F050E5" w:rsidRPr="008C1D69" w:rsidRDefault="00F050E5" w:rsidP="00171997">
            <w:pPr>
              <w:ind w:left="720"/>
              <w:rPr>
                <w:rFonts w:ascii="Century Gothic" w:hAnsi="Century Gothic"/>
                <w:sz w:val="20"/>
                <w:szCs w:val="20"/>
              </w:rPr>
            </w:pPr>
            <w:r w:rsidRPr="008C1D69">
              <w:rPr>
                <w:rFonts w:ascii="Century Gothic" w:hAnsi="Century Gothic"/>
                <w:sz w:val="20"/>
                <w:szCs w:val="20"/>
              </w:rPr>
              <w:t>- Begin Home exercise program: Unrestricted AROM and PROM of thumb including:</w:t>
            </w:r>
          </w:p>
          <w:p w:rsidR="00F050E5" w:rsidRPr="008C1D69" w:rsidRDefault="00F050E5" w:rsidP="00F050E5">
            <w:pPr>
              <w:pStyle w:val="ListParagraph"/>
              <w:numPr>
                <w:ilvl w:val="0"/>
                <w:numId w:val="12"/>
              </w:numPr>
              <w:rPr>
                <w:rFonts w:ascii="Century Gothic" w:hAnsi="Century Gothic"/>
                <w:sz w:val="20"/>
                <w:szCs w:val="20"/>
              </w:rPr>
            </w:pPr>
            <w:r w:rsidRPr="008C1D69">
              <w:rPr>
                <w:rFonts w:ascii="Century Gothic" w:hAnsi="Century Gothic"/>
                <w:sz w:val="20"/>
                <w:szCs w:val="20"/>
              </w:rPr>
              <w:t xml:space="preserve">Emphasis is placed on blocking the IP joint for isolated tendon gliding exercise to the FPL </w:t>
            </w:r>
          </w:p>
          <w:p w:rsidR="00F050E5" w:rsidRPr="008C1D69" w:rsidRDefault="00F050E5" w:rsidP="00F050E5">
            <w:pPr>
              <w:pStyle w:val="ListParagraph"/>
              <w:numPr>
                <w:ilvl w:val="0"/>
                <w:numId w:val="12"/>
              </w:numPr>
              <w:rPr>
                <w:rFonts w:ascii="Century Gothic" w:hAnsi="Century Gothic"/>
                <w:sz w:val="20"/>
                <w:szCs w:val="20"/>
              </w:rPr>
            </w:pPr>
            <w:r w:rsidRPr="008C1D69">
              <w:rPr>
                <w:rFonts w:ascii="Century Gothic" w:hAnsi="Century Gothic"/>
                <w:sz w:val="20"/>
                <w:szCs w:val="20"/>
              </w:rPr>
              <w:t>6x per day for 10 min sessions</w:t>
            </w:r>
          </w:p>
          <w:p w:rsidR="00F050E5" w:rsidRPr="008C1D69" w:rsidRDefault="00F050E5" w:rsidP="00171997">
            <w:pPr>
              <w:ind w:left="720"/>
              <w:rPr>
                <w:rFonts w:ascii="Century Gothic" w:hAnsi="Century Gothic"/>
                <w:sz w:val="20"/>
                <w:szCs w:val="20"/>
              </w:rPr>
            </w:pPr>
          </w:p>
          <w:p w:rsidR="00F050E5" w:rsidRPr="008C1D69" w:rsidRDefault="00F050E5" w:rsidP="00171997">
            <w:pPr>
              <w:ind w:left="720"/>
              <w:rPr>
                <w:rFonts w:ascii="Century Gothic" w:hAnsi="Century Gothic"/>
                <w:sz w:val="20"/>
                <w:szCs w:val="20"/>
              </w:rPr>
            </w:pPr>
            <w:r w:rsidRPr="008C1D69">
              <w:rPr>
                <w:rFonts w:ascii="Century Gothic" w:hAnsi="Century Gothic"/>
                <w:sz w:val="20"/>
                <w:szCs w:val="20"/>
              </w:rPr>
              <w:t>- Post-op edema management: with either light compressive dressing or an elastic stockinette to hand and forearm, digital finger socks or Coban are initiated.</w:t>
            </w:r>
          </w:p>
          <w:p w:rsidR="00F050E5" w:rsidRPr="008C1D69" w:rsidRDefault="00F050E5" w:rsidP="00171997">
            <w:pPr>
              <w:ind w:left="720"/>
              <w:rPr>
                <w:rFonts w:ascii="Century Gothic" w:hAnsi="Century Gothic"/>
                <w:sz w:val="20"/>
                <w:szCs w:val="20"/>
              </w:rPr>
            </w:pPr>
            <w:r w:rsidRPr="008C1D69">
              <w:rPr>
                <w:rFonts w:ascii="Century Gothic" w:hAnsi="Century Gothic"/>
                <w:sz w:val="20"/>
                <w:szCs w:val="20"/>
              </w:rPr>
              <w:t>- Splinting is not initiated following a trigger thumb release. The rare indication would be related to significant pain or post-op edema. The splint is discontinued as soon as the pain and/or edema have begun to resolve.</w:t>
            </w:r>
          </w:p>
          <w:p w:rsidR="00F050E5" w:rsidRPr="008C1D69" w:rsidRDefault="00F050E5" w:rsidP="00171997">
            <w:pPr>
              <w:ind w:left="720"/>
              <w:rPr>
                <w:rFonts w:ascii="Century Gothic" w:hAnsi="Century Gothic"/>
                <w:sz w:val="20"/>
                <w:szCs w:val="20"/>
              </w:rPr>
            </w:pPr>
          </w:p>
        </w:tc>
        <w:tc>
          <w:tcPr>
            <w:tcW w:w="4317" w:type="dxa"/>
            <w:tcBorders>
              <w:top w:val="double" w:sz="4" w:space="0" w:color="auto"/>
            </w:tcBorders>
          </w:tcPr>
          <w:p w:rsidR="00F050E5" w:rsidRPr="008C1D69" w:rsidRDefault="00F050E5" w:rsidP="00171997">
            <w:pPr>
              <w:rPr>
                <w:rFonts w:ascii="Century Gothic" w:hAnsi="Century Gothic"/>
                <w:sz w:val="20"/>
                <w:szCs w:val="20"/>
              </w:rPr>
            </w:pPr>
            <w:r w:rsidRPr="008C1D69">
              <w:rPr>
                <w:rFonts w:ascii="Century Gothic" w:hAnsi="Century Gothic"/>
                <w:sz w:val="20"/>
                <w:szCs w:val="20"/>
              </w:rPr>
              <w:t>Goals of Phase:</w:t>
            </w:r>
          </w:p>
          <w:p w:rsidR="00F050E5" w:rsidRPr="008C1D69" w:rsidRDefault="00F050E5" w:rsidP="00171997">
            <w:pPr>
              <w:rPr>
                <w:rFonts w:ascii="Century Gothic" w:hAnsi="Century Gothic"/>
                <w:sz w:val="20"/>
                <w:szCs w:val="20"/>
              </w:rPr>
            </w:pPr>
          </w:p>
          <w:p w:rsidR="00F050E5" w:rsidRPr="008C1D69" w:rsidRDefault="00F050E5" w:rsidP="00171997">
            <w:pPr>
              <w:rPr>
                <w:rFonts w:ascii="Century Gothic" w:hAnsi="Century Gothic"/>
                <w:sz w:val="20"/>
                <w:szCs w:val="20"/>
              </w:rPr>
            </w:pPr>
            <w:r w:rsidRPr="008C1D69">
              <w:rPr>
                <w:rFonts w:ascii="Century Gothic" w:hAnsi="Century Gothic"/>
                <w:sz w:val="20"/>
                <w:szCs w:val="20"/>
              </w:rPr>
              <w:t>Criteria to Advance to Next Phase:</w:t>
            </w:r>
          </w:p>
          <w:p w:rsidR="00F050E5" w:rsidRPr="008C1D69" w:rsidRDefault="00F050E5" w:rsidP="00F050E5">
            <w:pPr>
              <w:pStyle w:val="ListParagraph"/>
              <w:numPr>
                <w:ilvl w:val="0"/>
                <w:numId w:val="4"/>
              </w:numPr>
              <w:rPr>
                <w:rFonts w:ascii="Century Gothic" w:hAnsi="Century Gothic"/>
                <w:sz w:val="20"/>
                <w:szCs w:val="20"/>
              </w:rPr>
            </w:pPr>
            <w:r w:rsidRPr="008C1D69">
              <w:rPr>
                <w:rFonts w:ascii="Century Gothic" w:hAnsi="Century Gothic"/>
                <w:sz w:val="20"/>
                <w:szCs w:val="20"/>
              </w:rPr>
              <w:t>Suture/wound remains closed and absent of infection</w:t>
            </w:r>
          </w:p>
          <w:p w:rsidR="00F050E5" w:rsidRPr="008C1D69" w:rsidRDefault="00F050E5" w:rsidP="00F050E5">
            <w:pPr>
              <w:pStyle w:val="ListParagraph"/>
              <w:numPr>
                <w:ilvl w:val="0"/>
                <w:numId w:val="4"/>
              </w:numPr>
              <w:rPr>
                <w:rFonts w:ascii="Century Gothic" w:hAnsi="Century Gothic"/>
                <w:sz w:val="20"/>
                <w:szCs w:val="20"/>
              </w:rPr>
            </w:pPr>
            <w:r w:rsidRPr="008C1D69">
              <w:rPr>
                <w:rFonts w:ascii="Century Gothic" w:hAnsi="Century Gothic"/>
                <w:sz w:val="20"/>
                <w:szCs w:val="20"/>
              </w:rPr>
              <w:t>Improve motion</w:t>
            </w:r>
          </w:p>
          <w:p w:rsidR="00F050E5" w:rsidRPr="008C1D69" w:rsidRDefault="00F050E5" w:rsidP="00F050E5">
            <w:pPr>
              <w:pStyle w:val="ListParagraph"/>
              <w:numPr>
                <w:ilvl w:val="0"/>
                <w:numId w:val="4"/>
              </w:numPr>
              <w:rPr>
                <w:rFonts w:ascii="Century Gothic" w:hAnsi="Century Gothic"/>
                <w:sz w:val="20"/>
                <w:szCs w:val="20"/>
              </w:rPr>
            </w:pPr>
            <w:r w:rsidRPr="008C1D69">
              <w:rPr>
                <w:rFonts w:ascii="Century Gothic" w:hAnsi="Century Gothic"/>
                <w:sz w:val="20"/>
                <w:szCs w:val="20"/>
              </w:rPr>
              <w:t>Pain is decreased</w:t>
            </w:r>
          </w:p>
          <w:p w:rsidR="00F050E5" w:rsidRPr="008C1D69" w:rsidRDefault="00F050E5" w:rsidP="00F050E5">
            <w:pPr>
              <w:pStyle w:val="ListParagraph"/>
              <w:numPr>
                <w:ilvl w:val="0"/>
                <w:numId w:val="4"/>
              </w:numPr>
              <w:rPr>
                <w:rFonts w:ascii="Century Gothic" w:hAnsi="Century Gothic"/>
                <w:sz w:val="20"/>
                <w:szCs w:val="20"/>
              </w:rPr>
            </w:pPr>
            <w:r w:rsidRPr="008C1D69">
              <w:rPr>
                <w:rFonts w:ascii="Century Gothic" w:hAnsi="Century Gothic"/>
                <w:sz w:val="20"/>
                <w:szCs w:val="20"/>
              </w:rPr>
              <w:t>Locking or triggering of the digit is reduced</w:t>
            </w:r>
          </w:p>
          <w:p w:rsidR="00F050E5" w:rsidRPr="008C1D69" w:rsidRDefault="00F050E5" w:rsidP="00F050E5">
            <w:pPr>
              <w:pStyle w:val="ListParagraph"/>
              <w:numPr>
                <w:ilvl w:val="0"/>
                <w:numId w:val="4"/>
              </w:numPr>
              <w:rPr>
                <w:rFonts w:ascii="Century Gothic" w:hAnsi="Century Gothic"/>
                <w:sz w:val="20"/>
                <w:szCs w:val="20"/>
              </w:rPr>
            </w:pPr>
            <w:r w:rsidRPr="008C1D69">
              <w:rPr>
                <w:rFonts w:ascii="Century Gothic" w:hAnsi="Century Gothic"/>
                <w:sz w:val="20"/>
                <w:szCs w:val="20"/>
              </w:rPr>
              <w:t>Swelling is managed</w:t>
            </w:r>
          </w:p>
          <w:p w:rsidR="00F050E5" w:rsidRPr="008C1D69" w:rsidRDefault="00F050E5" w:rsidP="00171997">
            <w:pPr>
              <w:pStyle w:val="ListParagraph"/>
              <w:rPr>
                <w:rFonts w:ascii="Century Gothic" w:hAnsi="Century Gothic"/>
                <w:sz w:val="20"/>
                <w:szCs w:val="20"/>
              </w:rPr>
            </w:pPr>
          </w:p>
        </w:tc>
      </w:tr>
      <w:tr w:rsidR="00F050E5" w:rsidRPr="008C1D69" w:rsidTr="00171997">
        <w:trPr>
          <w:trHeight w:val="3770"/>
        </w:trPr>
        <w:tc>
          <w:tcPr>
            <w:tcW w:w="2515" w:type="dxa"/>
            <w:tcBorders>
              <w:bottom w:val="single" w:sz="4" w:space="0" w:color="auto"/>
            </w:tcBorders>
          </w:tcPr>
          <w:p w:rsidR="00F050E5" w:rsidRPr="008C1D69" w:rsidRDefault="00F050E5" w:rsidP="00171997">
            <w:pPr>
              <w:rPr>
                <w:rFonts w:ascii="Century Gothic" w:hAnsi="Century Gothic"/>
                <w:b/>
                <w:sz w:val="20"/>
                <w:szCs w:val="20"/>
              </w:rPr>
            </w:pPr>
            <w:r w:rsidRPr="008C1D69">
              <w:rPr>
                <w:rFonts w:ascii="Century Gothic" w:hAnsi="Century Gothic"/>
                <w:b/>
                <w:sz w:val="20"/>
                <w:szCs w:val="20"/>
              </w:rPr>
              <w:lastRenderedPageBreak/>
              <w:t>Phase II</w:t>
            </w:r>
          </w:p>
          <w:p w:rsidR="00F050E5" w:rsidRPr="008C1D69" w:rsidRDefault="00F050E5" w:rsidP="00171997">
            <w:pPr>
              <w:rPr>
                <w:rFonts w:ascii="Century Gothic" w:hAnsi="Century Gothic"/>
                <w:b/>
                <w:sz w:val="20"/>
                <w:szCs w:val="20"/>
              </w:rPr>
            </w:pPr>
          </w:p>
          <w:p w:rsidR="00F050E5" w:rsidRPr="008C1D69" w:rsidRDefault="00F050E5" w:rsidP="00171997">
            <w:pPr>
              <w:rPr>
                <w:rFonts w:ascii="Century Gothic" w:hAnsi="Century Gothic"/>
                <w:sz w:val="20"/>
                <w:szCs w:val="20"/>
              </w:rPr>
            </w:pPr>
          </w:p>
        </w:tc>
        <w:tc>
          <w:tcPr>
            <w:tcW w:w="6118" w:type="dxa"/>
          </w:tcPr>
          <w:p w:rsidR="00F050E5" w:rsidRPr="008C1D69" w:rsidRDefault="00F050E5" w:rsidP="00171997">
            <w:pPr>
              <w:rPr>
                <w:rFonts w:ascii="Century Gothic" w:hAnsi="Century Gothic"/>
                <w:sz w:val="20"/>
                <w:szCs w:val="20"/>
              </w:rPr>
            </w:pPr>
            <w:r w:rsidRPr="008C1D69">
              <w:rPr>
                <w:rFonts w:ascii="Century Gothic" w:hAnsi="Century Gothic"/>
                <w:sz w:val="20"/>
                <w:szCs w:val="20"/>
              </w:rPr>
              <w:t>10-14 days post-op:</w:t>
            </w:r>
          </w:p>
          <w:p w:rsidR="00F050E5" w:rsidRPr="008C1D69" w:rsidRDefault="00F050E5" w:rsidP="00171997">
            <w:pPr>
              <w:rPr>
                <w:rFonts w:ascii="Century Gothic" w:hAnsi="Century Gothic"/>
                <w:sz w:val="20"/>
                <w:szCs w:val="20"/>
              </w:rPr>
            </w:pPr>
            <w:r w:rsidRPr="008C1D69">
              <w:rPr>
                <w:rFonts w:ascii="Century Gothic" w:hAnsi="Century Gothic"/>
                <w:sz w:val="20"/>
                <w:szCs w:val="20"/>
              </w:rPr>
              <w:tab/>
            </w:r>
          </w:p>
          <w:p w:rsidR="00F050E5" w:rsidRPr="008C1D69" w:rsidRDefault="00F050E5" w:rsidP="00171997">
            <w:pPr>
              <w:rPr>
                <w:rFonts w:ascii="Century Gothic" w:hAnsi="Century Gothic"/>
                <w:sz w:val="20"/>
                <w:szCs w:val="20"/>
              </w:rPr>
            </w:pPr>
            <w:r w:rsidRPr="008C1D69">
              <w:rPr>
                <w:rFonts w:ascii="Century Gothic" w:hAnsi="Century Gothic"/>
                <w:sz w:val="20"/>
                <w:szCs w:val="20"/>
              </w:rPr>
              <w:t xml:space="preserve">Continue to progress the AROM/PROM from phase I: </w:t>
            </w:r>
          </w:p>
          <w:p w:rsidR="00F050E5" w:rsidRPr="008C1D69" w:rsidRDefault="00F050E5" w:rsidP="00F050E5">
            <w:pPr>
              <w:pStyle w:val="ListParagraph"/>
              <w:numPr>
                <w:ilvl w:val="0"/>
                <w:numId w:val="13"/>
              </w:numPr>
              <w:rPr>
                <w:rFonts w:ascii="Century Gothic" w:hAnsi="Century Gothic"/>
                <w:sz w:val="20"/>
                <w:szCs w:val="20"/>
              </w:rPr>
            </w:pPr>
            <w:r w:rsidRPr="008C1D69">
              <w:rPr>
                <w:rFonts w:ascii="Century Gothic" w:hAnsi="Century Gothic"/>
                <w:sz w:val="20"/>
                <w:szCs w:val="20"/>
              </w:rPr>
              <w:t>HEP 6x per day for 10 min sessions</w:t>
            </w:r>
          </w:p>
          <w:p w:rsidR="00F050E5" w:rsidRPr="008C1D69" w:rsidRDefault="00F050E5" w:rsidP="00171997">
            <w:pPr>
              <w:pStyle w:val="ListParagraph"/>
              <w:rPr>
                <w:rFonts w:ascii="Century Gothic" w:hAnsi="Century Gothic"/>
                <w:sz w:val="20"/>
                <w:szCs w:val="20"/>
              </w:rPr>
            </w:pPr>
          </w:p>
          <w:p w:rsidR="00F050E5" w:rsidRPr="008C1D69" w:rsidRDefault="00F050E5" w:rsidP="00171997">
            <w:pPr>
              <w:rPr>
                <w:rFonts w:ascii="Century Gothic" w:hAnsi="Century Gothic"/>
                <w:sz w:val="20"/>
                <w:szCs w:val="20"/>
              </w:rPr>
            </w:pPr>
            <w:r w:rsidRPr="008C1D69">
              <w:rPr>
                <w:rFonts w:ascii="Century Gothic" w:hAnsi="Century Gothic"/>
                <w:sz w:val="20"/>
                <w:szCs w:val="20"/>
              </w:rPr>
              <w:t>Within 48 hours following suture removal, scar mobilization techniques may be initiated with scar massage and lotion or cream, along with the use of Elastomer, silicone gel, Dycem.</w:t>
            </w:r>
          </w:p>
          <w:p w:rsidR="00F050E5" w:rsidRPr="008C1D69" w:rsidRDefault="00F050E5" w:rsidP="00171997">
            <w:pPr>
              <w:rPr>
                <w:rFonts w:ascii="Century Gothic" w:hAnsi="Century Gothic"/>
                <w:sz w:val="20"/>
                <w:szCs w:val="20"/>
              </w:rPr>
            </w:pPr>
          </w:p>
          <w:p w:rsidR="00F050E5" w:rsidRPr="008C1D69" w:rsidRDefault="00F050E5" w:rsidP="00171997">
            <w:pPr>
              <w:rPr>
                <w:rFonts w:ascii="Century Gothic" w:hAnsi="Century Gothic"/>
                <w:sz w:val="20"/>
                <w:szCs w:val="20"/>
              </w:rPr>
            </w:pPr>
            <w:r w:rsidRPr="008C1D69">
              <w:rPr>
                <w:rFonts w:ascii="Century Gothic" w:hAnsi="Century Gothic"/>
                <w:sz w:val="20"/>
                <w:szCs w:val="20"/>
              </w:rPr>
              <w:t>Manual desensitization techniques may be initiated.</w:t>
            </w:r>
          </w:p>
          <w:p w:rsidR="00F050E5" w:rsidRPr="008C1D69" w:rsidRDefault="00F050E5" w:rsidP="00171997">
            <w:pPr>
              <w:rPr>
                <w:rFonts w:ascii="Century Gothic" w:hAnsi="Century Gothic"/>
                <w:sz w:val="20"/>
                <w:szCs w:val="20"/>
              </w:rPr>
            </w:pPr>
          </w:p>
          <w:p w:rsidR="00F050E5" w:rsidRPr="008C1D69" w:rsidRDefault="00F050E5" w:rsidP="00171997">
            <w:pPr>
              <w:rPr>
                <w:rFonts w:ascii="Century Gothic" w:hAnsi="Century Gothic"/>
                <w:sz w:val="20"/>
                <w:szCs w:val="20"/>
              </w:rPr>
            </w:pPr>
            <w:r w:rsidRPr="008C1D69">
              <w:rPr>
                <w:rFonts w:ascii="Century Gothic" w:hAnsi="Century Gothic"/>
                <w:sz w:val="20"/>
                <w:szCs w:val="20"/>
              </w:rPr>
              <w:t>If scar tissue remains to be painful or a motion limitation, consider ultrasound as a modality.</w:t>
            </w:r>
          </w:p>
        </w:tc>
        <w:tc>
          <w:tcPr>
            <w:tcW w:w="4317" w:type="dxa"/>
            <w:tcBorders>
              <w:bottom w:val="single" w:sz="4" w:space="0" w:color="auto"/>
            </w:tcBorders>
          </w:tcPr>
          <w:p w:rsidR="00F050E5" w:rsidRPr="008C1D69" w:rsidRDefault="00F050E5" w:rsidP="00171997">
            <w:pPr>
              <w:rPr>
                <w:rFonts w:ascii="Century Gothic" w:hAnsi="Century Gothic"/>
                <w:sz w:val="20"/>
                <w:szCs w:val="20"/>
              </w:rPr>
            </w:pPr>
            <w:r w:rsidRPr="008C1D69">
              <w:rPr>
                <w:rFonts w:ascii="Century Gothic" w:hAnsi="Century Gothic"/>
                <w:sz w:val="20"/>
                <w:szCs w:val="20"/>
              </w:rPr>
              <w:t>Goals of Phase:</w:t>
            </w:r>
          </w:p>
          <w:p w:rsidR="00F050E5" w:rsidRPr="008C1D69" w:rsidRDefault="00F050E5" w:rsidP="00171997">
            <w:pPr>
              <w:ind w:left="288"/>
              <w:rPr>
                <w:rFonts w:ascii="Century Gothic" w:hAnsi="Century Gothic"/>
                <w:sz w:val="20"/>
                <w:szCs w:val="20"/>
              </w:rPr>
            </w:pPr>
            <w:r w:rsidRPr="008C1D69">
              <w:rPr>
                <w:rFonts w:ascii="Century Gothic" w:hAnsi="Century Gothic"/>
                <w:sz w:val="20"/>
                <w:szCs w:val="20"/>
              </w:rPr>
              <w:t>Functional goals:</w:t>
            </w:r>
          </w:p>
          <w:p w:rsidR="00F050E5" w:rsidRPr="008C1D69" w:rsidRDefault="00F050E5" w:rsidP="00F050E5">
            <w:pPr>
              <w:pStyle w:val="ListParagraph"/>
              <w:numPr>
                <w:ilvl w:val="0"/>
                <w:numId w:val="6"/>
              </w:numPr>
              <w:rPr>
                <w:rFonts w:ascii="Century Gothic" w:hAnsi="Century Gothic"/>
                <w:sz w:val="20"/>
                <w:szCs w:val="20"/>
              </w:rPr>
            </w:pPr>
            <w:r w:rsidRPr="008C1D69">
              <w:rPr>
                <w:rFonts w:ascii="Century Gothic" w:hAnsi="Century Gothic"/>
                <w:sz w:val="20"/>
                <w:szCs w:val="20"/>
              </w:rPr>
              <w:t>Begin light ADLs within the lift/carry/grasp restrictions</w:t>
            </w:r>
          </w:p>
          <w:p w:rsidR="00F050E5" w:rsidRPr="008C1D69" w:rsidRDefault="00F050E5" w:rsidP="00F050E5">
            <w:pPr>
              <w:pStyle w:val="ListParagraph"/>
              <w:numPr>
                <w:ilvl w:val="0"/>
                <w:numId w:val="6"/>
              </w:numPr>
              <w:rPr>
                <w:rFonts w:ascii="Century Gothic" w:hAnsi="Century Gothic"/>
                <w:sz w:val="20"/>
                <w:szCs w:val="20"/>
              </w:rPr>
            </w:pPr>
            <w:r w:rsidRPr="008C1D69">
              <w:rPr>
                <w:rFonts w:ascii="Century Gothic" w:hAnsi="Century Gothic"/>
                <w:sz w:val="20"/>
                <w:szCs w:val="20"/>
              </w:rPr>
              <w:t>Knows conservative measures to address pain or edema with re-entry into activity (contrast bath, ice, heat, self- soft tissue mobilizations), joint protection, body mechanics, gripped tools or glove use, activity modification.</w:t>
            </w:r>
          </w:p>
        </w:tc>
      </w:tr>
      <w:tr w:rsidR="00F050E5" w:rsidRPr="008C1D69" w:rsidTr="00171997">
        <w:trPr>
          <w:trHeight w:val="620"/>
        </w:trPr>
        <w:tc>
          <w:tcPr>
            <w:tcW w:w="2515" w:type="dxa"/>
            <w:tcBorders>
              <w:bottom w:val="single" w:sz="4" w:space="0" w:color="auto"/>
            </w:tcBorders>
          </w:tcPr>
          <w:p w:rsidR="00F050E5" w:rsidRPr="008C1D69" w:rsidRDefault="00F050E5" w:rsidP="00171997">
            <w:pPr>
              <w:rPr>
                <w:rFonts w:ascii="Century Gothic" w:hAnsi="Century Gothic"/>
                <w:b/>
                <w:sz w:val="20"/>
                <w:szCs w:val="20"/>
              </w:rPr>
            </w:pPr>
            <w:r w:rsidRPr="008C1D69">
              <w:rPr>
                <w:rFonts w:ascii="Century Gothic" w:hAnsi="Century Gothic"/>
                <w:b/>
                <w:sz w:val="20"/>
                <w:szCs w:val="20"/>
              </w:rPr>
              <w:t>Phase III</w:t>
            </w:r>
          </w:p>
          <w:p w:rsidR="00F050E5" w:rsidRPr="008C1D69" w:rsidRDefault="00F050E5" w:rsidP="00171997">
            <w:pPr>
              <w:rPr>
                <w:rFonts w:ascii="Century Gothic" w:hAnsi="Century Gothic"/>
                <w:b/>
                <w:sz w:val="20"/>
                <w:szCs w:val="20"/>
              </w:rPr>
            </w:pPr>
          </w:p>
          <w:p w:rsidR="00F050E5" w:rsidRPr="008C1D69" w:rsidRDefault="00F050E5" w:rsidP="00171997">
            <w:pPr>
              <w:rPr>
                <w:rFonts w:ascii="Century Gothic" w:hAnsi="Century Gothic"/>
                <w:sz w:val="20"/>
                <w:szCs w:val="20"/>
              </w:rPr>
            </w:pPr>
          </w:p>
        </w:tc>
        <w:tc>
          <w:tcPr>
            <w:tcW w:w="6118" w:type="dxa"/>
            <w:tcBorders>
              <w:bottom w:val="single" w:sz="4" w:space="0" w:color="auto"/>
            </w:tcBorders>
          </w:tcPr>
          <w:p w:rsidR="00F050E5" w:rsidRPr="008C1D69" w:rsidRDefault="00F050E5" w:rsidP="00171997">
            <w:pPr>
              <w:rPr>
                <w:rFonts w:ascii="Century Gothic" w:hAnsi="Century Gothic"/>
                <w:sz w:val="20"/>
                <w:szCs w:val="20"/>
              </w:rPr>
            </w:pPr>
            <w:r w:rsidRPr="008C1D69">
              <w:rPr>
                <w:rFonts w:ascii="Century Gothic" w:hAnsi="Century Gothic"/>
                <w:sz w:val="20"/>
                <w:szCs w:val="20"/>
              </w:rPr>
              <w:t>3-4 weeks post-op:</w:t>
            </w:r>
          </w:p>
          <w:p w:rsidR="00F050E5" w:rsidRPr="008C1D69" w:rsidRDefault="00F050E5" w:rsidP="00171997">
            <w:pPr>
              <w:pStyle w:val="ListParagraph"/>
              <w:rPr>
                <w:rFonts w:ascii="Century Gothic" w:hAnsi="Century Gothic"/>
                <w:sz w:val="20"/>
                <w:szCs w:val="20"/>
              </w:rPr>
            </w:pPr>
          </w:p>
          <w:p w:rsidR="00F050E5" w:rsidRPr="008C1D69" w:rsidRDefault="00F050E5" w:rsidP="00F050E5">
            <w:pPr>
              <w:pStyle w:val="ListParagraph"/>
              <w:numPr>
                <w:ilvl w:val="0"/>
                <w:numId w:val="14"/>
              </w:numPr>
              <w:rPr>
                <w:rFonts w:ascii="Century Gothic" w:hAnsi="Century Gothic"/>
                <w:sz w:val="20"/>
                <w:szCs w:val="20"/>
              </w:rPr>
            </w:pPr>
            <w:r w:rsidRPr="008C1D69">
              <w:rPr>
                <w:rFonts w:ascii="Century Gothic" w:hAnsi="Century Gothic"/>
                <w:sz w:val="20"/>
                <w:szCs w:val="20"/>
              </w:rPr>
              <w:t>Progressive strengthening:</w:t>
            </w:r>
          </w:p>
          <w:p w:rsidR="00F050E5" w:rsidRPr="008C1D69" w:rsidRDefault="00F050E5" w:rsidP="00171997">
            <w:pPr>
              <w:pStyle w:val="ListParagraph"/>
              <w:rPr>
                <w:rFonts w:ascii="Century Gothic" w:hAnsi="Century Gothic"/>
                <w:sz w:val="20"/>
                <w:szCs w:val="20"/>
              </w:rPr>
            </w:pPr>
            <w:r w:rsidRPr="008C1D69">
              <w:rPr>
                <w:rFonts w:ascii="Century Gothic" w:hAnsi="Century Gothic"/>
                <w:sz w:val="20"/>
                <w:szCs w:val="20"/>
              </w:rPr>
              <w:t xml:space="preserve">May be initiated with putty, foam ball, and/or some form of a hand exercises for grasp and pinch positions to regain the hand strength and endurance for functional hand use. </w:t>
            </w:r>
          </w:p>
          <w:p w:rsidR="00F050E5" w:rsidRPr="008C1D69" w:rsidRDefault="00F050E5" w:rsidP="00171997">
            <w:pPr>
              <w:pStyle w:val="ListParagraph"/>
              <w:rPr>
                <w:rFonts w:ascii="Century Gothic" w:hAnsi="Century Gothic"/>
                <w:sz w:val="20"/>
                <w:szCs w:val="20"/>
              </w:rPr>
            </w:pPr>
          </w:p>
          <w:p w:rsidR="00F050E5" w:rsidRPr="008C1D69" w:rsidRDefault="00F050E5" w:rsidP="00171997">
            <w:pPr>
              <w:pStyle w:val="ListParagraph"/>
              <w:rPr>
                <w:rFonts w:ascii="Century Gothic" w:hAnsi="Century Gothic"/>
                <w:sz w:val="20"/>
                <w:szCs w:val="20"/>
              </w:rPr>
            </w:pPr>
            <w:r w:rsidRPr="008C1D69">
              <w:rPr>
                <w:rFonts w:ascii="Century Gothic" w:hAnsi="Century Gothic"/>
                <w:sz w:val="20"/>
                <w:szCs w:val="20"/>
              </w:rPr>
              <w:t xml:space="preserve">Patient education with body mechanics, awareness to the activities that led to the trigger thumb. </w:t>
            </w:r>
          </w:p>
          <w:p w:rsidR="00F050E5" w:rsidRPr="008C1D69" w:rsidRDefault="00F050E5" w:rsidP="00171997">
            <w:pPr>
              <w:pStyle w:val="ListParagraph"/>
              <w:rPr>
                <w:rFonts w:ascii="Century Gothic" w:hAnsi="Century Gothic"/>
                <w:sz w:val="20"/>
                <w:szCs w:val="20"/>
              </w:rPr>
            </w:pPr>
          </w:p>
          <w:p w:rsidR="00F050E5" w:rsidRPr="008C1D69" w:rsidRDefault="00F050E5" w:rsidP="00171997">
            <w:pPr>
              <w:pStyle w:val="ListParagraph"/>
              <w:rPr>
                <w:rFonts w:ascii="Century Gothic" w:hAnsi="Century Gothic"/>
                <w:sz w:val="20"/>
                <w:szCs w:val="20"/>
              </w:rPr>
            </w:pPr>
            <w:r w:rsidRPr="008C1D69">
              <w:rPr>
                <w:rFonts w:ascii="Century Gothic" w:hAnsi="Century Gothic"/>
                <w:sz w:val="20"/>
                <w:szCs w:val="20"/>
              </w:rPr>
              <w:t>Continue scar mobilization and stretching as needed.</w:t>
            </w:r>
          </w:p>
          <w:p w:rsidR="00F050E5" w:rsidRPr="008C1D69" w:rsidRDefault="00F050E5" w:rsidP="00171997">
            <w:pPr>
              <w:pStyle w:val="ListParagraph"/>
              <w:rPr>
                <w:rFonts w:ascii="Century Gothic" w:hAnsi="Century Gothic"/>
                <w:sz w:val="20"/>
                <w:szCs w:val="20"/>
              </w:rPr>
            </w:pPr>
            <w:r w:rsidRPr="008C1D69">
              <w:rPr>
                <w:rFonts w:ascii="Century Gothic" w:hAnsi="Century Gothic"/>
                <w:sz w:val="20"/>
                <w:szCs w:val="20"/>
              </w:rPr>
              <w:t xml:space="preserve">Offer suggestions for modifying tasks or tools, rotate tasks to minimize repetition and options to alter the position of the thumb or decrease the resistance on the thumb. </w:t>
            </w:r>
          </w:p>
        </w:tc>
        <w:tc>
          <w:tcPr>
            <w:tcW w:w="4317" w:type="dxa"/>
            <w:tcBorders>
              <w:bottom w:val="single" w:sz="4" w:space="0" w:color="auto"/>
            </w:tcBorders>
          </w:tcPr>
          <w:p w:rsidR="00F050E5" w:rsidRPr="008C1D69" w:rsidRDefault="00F050E5" w:rsidP="00171997">
            <w:pPr>
              <w:rPr>
                <w:rFonts w:ascii="Century Gothic" w:hAnsi="Century Gothic"/>
                <w:sz w:val="20"/>
                <w:szCs w:val="20"/>
              </w:rPr>
            </w:pPr>
            <w:r w:rsidRPr="008C1D69">
              <w:rPr>
                <w:rFonts w:ascii="Century Gothic" w:hAnsi="Century Gothic"/>
                <w:sz w:val="20"/>
                <w:szCs w:val="20"/>
              </w:rPr>
              <w:t>Goals of Phase:</w:t>
            </w:r>
          </w:p>
          <w:p w:rsidR="00F050E5" w:rsidRPr="008C1D69" w:rsidRDefault="00F050E5" w:rsidP="00171997">
            <w:pPr>
              <w:ind w:left="288"/>
              <w:rPr>
                <w:rFonts w:ascii="Century Gothic" w:hAnsi="Century Gothic"/>
                <w:sz w:val="20"/>
                <w:szCs w:val="20"/>
              </w:rPr>
            </w:pPr>
            <w:r w:rsidRPr="008C1D69">
              <w:rPr>
                <w:rFonts w:ascii="Century Gothic" w:hAnsi="Century Gothic"/>
                <w:sz w:val="20"/>
                <w:szCs w:val="20"/>
              </w:rPr>
              <w:t>Functional goals:</w:t>
            </w:r>
          </w:p>
          <w:p w:rsidR="00F050E5" w:rsidRPr="008C1D69" w:rsidRDefault="00F050E5" w:rsidP="00F050E5">
            <w:pPr>
              <w:pStyle w:val="ListParagraph"/>
              <w:numPr>
                <w:ilvl w:val="0"/>
                <w:numId w:val="7"/>
              </w:numPr>
              <w:rPr>
                <w:rFonts w:ascii="Century Gothic" w:hAnsi="Century Gothic"/>
                <w:sz w:val="20"/>
                <w:szCs w:val="20"/>
              </w:rPr>
            </w:pPr>
            <w:r w:rsidRPr="008C1D69">
              <w:rPr>
                <w:rFonts w:ascii="Century Gothic" w:hAnsi="Century Gothic"/>
                <w:sz w:val="20"/>
                <w:szCs w:val="20"/>
              </w:rPr>
              <w:t>Return to light to moderate normal ADL demands, with improved motion, strength and pain levels</w:t>
            </w:r>
          </w:p>
          <w:p w:rsidR="00F050E5" w:rsidRPr="008C1D69" w:rsidRDefault="00F050E5" w:rsidP="00F050E5">
            <w:pPr>
              <w:pStyle w:val="ListParagraph"/>
              <w:numPr>
                <w:ilvl w:val="0"/>
                <w:numId w:val="7"/>
              </w:numPr>
              <w:rPr>
                <w:rFonts w:ascii="Century Gothic" w:hAnsi="Century Gothic"/>
                <w:sz w:val="20"/>
                <w:szCs w:val="20"/>
              </w:rPr>
            </w:pPr>
            <w:r w:rsidRPr="008C1D69">
              <w:rPr>
                <w:rFonts w:ascii="Century Gothic" w:hAnsi="Century Gothic"/>
                <w:sz w:val="20"/>
                <w:szCs w:val="20"/>
              </w:rPr>
              <w:t>Integration of body mechanics and joint protection to the activities that may have contributed to the trigger thumb.</w:t>
            </w:r>
          </w:p>
          <w:p w:rsidR="00F050E5" w:rsidRPr="008C1D69" w:rsidRDefault="00F050E5" w:rsidP="00F050E5">
            <w:pPr>
              <w:pStyle w:val="ListParagraph"/>
              <w:numPr>
                <w:ilvl w:val="0"/>
                <w:numId w:val="7"/>
              </w:numPr>
              <w:rPr>
                <w:rFonts w:ascii="Century Gothic" w:hAnsi="Century Gothic"/>
                <w:sz w:val="20"/>
                <w:szCs w:val="20"/>
              </w:rPr>
            </w:pPr>
            <w:r w:rsidRPr="008C1D69">
              <w:rPr>
                <w:rFonts w:ascii="Century Gothic" w:hAnsi="Century Gothic"/>
                <w:sz w:val="20"/>
                <w:szCs w:val="20"/>
              </w:rPr>
              <w:t xml:space="preserve">Avoid or minimize the activities that require repetitive gripping or demands of sustained pinch. </w:t>
            </w:r>
          </w:p>
          <w:p w:rsidR="00F050E5" w:rsidRPr="008C1D69" w:rsidRDefault="00F050E5" w:rsidP="00171997">
            <w:pPr>
              <w:pStyle w:val="ListParagraph"/>
              <w:ind w:left="936"/>
              <w:rPr>
                <w:rFonts w:ascii="Century Gothic" w:hAnsi="Century Gothic"/>
                <w:sz w:val="20"/>
                <w:szCs w:val="20"/>
              </w:rPr>
            </w:pPr>
          </w:p>
        </w:tc>
      </w:tr>
    </w:tbl>
    <w:p w:rsidR="00F050E5" w:rsidRPr="008C1D69" w:rsidRDefault="00F050E5" w:rsidP="00F050E5">
      <w:pPr>
        <w:rPr>
          <w:rFonts w:ascii="Century Gothic" w:hAnsi="Century Gothic"/>
          <w:sz w:val="20"/>
          <w:szCs w:val="20"/>
        </w:rPr>
      </w:pPr>
    </w:p>
    <w:p w:rsidR="00B259E9" w:rsidRPr="00CF3888" w:rsidRDefault="00B259E9" w:rsidP="00B259E9">
      <w:pPr>
        <w:jc w:val="center"/>
        <w:rPr>
          <w:rFonts w:ascii="Century Gothic" w:hAnsi="Century Gothic"/>
          <w:sz w:val="20"/>
          <w:szCs w:val="20"/>
        </w:rPr>
      </w:pPr>
    </w:p>
    <w:sectPr w:rsidR="00B259E9" w:rsidRPr="00CF3888" w:rsidSect="001E318E">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317" w:rsidRDefault="00376317" w:rsidP="00075C04">
      <w:pPr>
        <w:spacing w:after="0" w:line="240" w:lineRule="auto"/>
      </w:pPr>
      <w:r>
        <w:separator/>
      </w:r>
    </w:p>
  </w:endnote>
  <w:endnote w:type="continuationSeparator" w:id="0">
    <w:p w:rsidR="00376317" w:rsidRDefault="00376317" w:rsidP="00075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E5" w:rsidRDefault="00F05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C04" w:rsidRPr="006169F8" w:rsidRDefault="006169F8" w:rsidP="006169F8">
    <w:pPr>
      <w:pStyle w:val="EnvelopeReturn"/>
      <w:tabs>
        <w:tab w:val="left" w:pos="540"/>
        <w:tab w:val="left" w:pos="990"/>
        <w:tab w:val="left" w:pos="1440"/>
        <w:tab w:val="left" w:pos="2880"/>
      </w:tabs>
      <w:jc w:val="right"/>
    </w:pPr>
    <w:r w:rsidRPr="006169F8">
      <w:rPr>
        <w:sz w:val="12"/>
      </w:rPr>
      <w:t xml:space="preserve">Last Updated: </w:t>
    </w:r>
    <w:r w:rsidR="00EA103D">
      <w:rPr>
        <w:sz w:val="12"/>
      </w:rPr>
      <w:t>08/01</w:t>
    </w:r>
    <w:r w:rsidR="00B03910">
      <w:rPr>
        <w:sz w:val="12"/>
      </w:rPr>
      <w:t>/19</w:t>
    </w:r>
  </w:p>
  <w:p w:rsidR="00075C04" w:rsidRPr="00014330" w:rsidRDefault="00075C04" w:rsidP="006169F8">
    <w:pPr>
      <w:pStyle w:val="Footer"/>
      <w:tabs>
        <w:tab w:val="left" w:pos="3860"/>
        <w:tab w:val="left" w:pos="6850"/>
        <w:tab w:val="left" w:pos="10080"/>
        <w:tab w:val="right" w:pos="10800"/>
      </w:tabs>
      <w:jc w:val="right"/>
    </w:pP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sidRPr="00762B04">
      <w:rPr>
        <w:rFonts w:ascii="Century Gothic" w:hAnsi="Century Gothic"/>
        <w:sz w:val="16"/>
      </w:rPr>
      <w:t xml:space="preserve">Page </w:t>
    </w:r>
    <w:r w:rsidRPr="00762B04">
      <w:rPr>
        <w:rFonts w:ascii="Century Gothic" w:hAnsi="Century Gothic"/>
        <w:sz w:val="16"/>
      </w:rPr>
      <w:fldChar w:fldCharType="begin"/>
    </w:r>
    <w:r w:rsidRPr="00762B04">
      <w:rPr>
        <w:rFonts w:ascii="Century Gothic" w:hAnsi="Century Gothic"/>
        <w:sz w:val="16"/>
      </w:rPr>
      <w:instrText xml:space="preserve"> PAGE </w:instrText>
    </w:r>
    <w:r w:rsidRPr="00762B04">
      <w:rPr>
        <w:rFonts w:ascii="Century Gothic" w:hAnsi="Century Gothic"/>
        <w:sz w:val="16"/>
      </w:rPr>
      <w:fldChar w:fldCharType="separate"/>
    </w:r>
    <w:r w:rsidR="00F050E5">
      <w:rPr>
        <w:rFonts w:ascii="Century Gothic" w:hAnsi="Century Gothic"/>
        <w:noProof/>
        <w:sz w:val="16"/>
      </w:rPr>
      <w:t>1</w:t>
    </w:r>
    <w:r w:rsidRPr="00762B04">
      <w:rPr>
        <w:rFonts w:ascii="Century Gothic" w:hAnsi="Century Gothic"/>
        <w:sz w:val="16"/>
      </w:rPr>
      <w:fldChar w:fldCharType="end"/>
    </w:r>
    <w:r w:rsidRPr="00762B04">
      <w:rPr>
        <w:rFonts w:ascii="Century Gothic" w:hAnsi="Century Gothic"/>
        <w:sz w:val="16"/>
      </w:rPr>
      <w:t xml:space="preserve"> of </w:t>
    </w:r>
    <w:r w:rsidRPr="00762B04">
      <w:rPr>
        <w:rFonts w:ascii="Century Gothic" w:hAnsi="Century Gothic"/>
        <w:sz w:val="16"/>
      </w:rPr>
      <w:fldChar w:fldCharType="begin"/>
    </w:r>
    <w:r w:rsidRPr="00762B04">
      <w:rPr>
        <w:rFonts w:ascii="Century Gothic" w:hAnsi="Century Gothic"/>
        <w:sz w:val="16"/>
      </w:rPr>
      <w:instrText xml:space="preserve"> NUMPAGES </w:instrText>
    </w:r>
    <w:r w:rsidRPr="00762B04">
      <w:rPr>
        <w:rFonts w:ascii="Century Gothic" w:hAnsi="Century Gothic"/>
        <w:sz w:val="16"/>
      </w:rPr>
      <w:fldChar w:fldCharType="separate"/>
    </w:r>
    <w:r w:rsidR="00F050E5">
      <w:rPr>
        <w:rFonts w:ascii="Century Gothic" w:hAnsi="Century Gothic"/>
        <w:noProof/>
        <w:sz w:val="16"/>
      </w:rPr>
      <w:t>3</w:t>
    </w:r>
    <w:r w:rsidRPr="00762B04">
      <w:rPr>
        <w:rFonts w:ascii="Century Gothic" w:hAnsi="Century Gothic"/>
        <w:sz w:val="16"/>
      </w:rPr>
      <w:fldChar w:fldCharType="end"/>
    </w:r>
  </w:p>
  <w:p w:rsidR="00075C04" w:rsidRDefault="00075C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E5" w:rsidRDefault="00F05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317" w:rsidRDefault="00376317" w:rsidP="00075C04">
      <w:pPr>
        <w:spacing w:after="0" w:line="240" w:lineRule="auto"/>
      </w:pPr>
      <w:r>
        <w:separator/>
      </w:r>
    </w:p>
  </w:footnote>
  <w:footnote w:type="continuationSeparator" w:id="0">
    <w:p w:rsidR="00376317" w:rsidRDefault="00376317" w:rsidP="00075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E5" w:rsidRDefault="00F050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964" w:type="dxa"/>
      <w:tblBorders>
        <w:bottom w:val="single" w:sz="4" w:space="0" w:color="000000"/>
      </w:tblBorders>
      <w:tblLook w:val="00A0" w:firstRow="1" w:lastRow="0" w:firstColumn="1" w:lastColumn="0" w:noHBand="0" w:noVBand="0"/>
    </w:tblPr>
    <w:tblGrid>
      <w:gridCol w:w="4220"/>
      <w:gridCol w:w="8744"/>
    </w:tblGrid>
    <w:tr w:rsidR="00075C04" w:rsidTr="00075C04">
      <w:trPr>
        <w:trHeight w:val="813"/>
      </w:trPr>
      <w:tc>
        <w:tcPr>
          <w:tcW w:w="4220" w:type="dxa"/>
        </w:tcPr>
        <w:p w:rsidR="00075C04" w:rsidRPr="009E0068" w:rsidRDefault="003B4923" w:rsidP="00075C04">
          <w:pPr>
            <w:pStyle w:val="Header"/>
            <w:rPr>
              <w:rFonts w:ascii="Century Gothic" w:hAnsi="Century Gothic"/>
              <w:b/>
            </w:rPr>
          </w:pPr>
          <w:r>
            <w:rPr>
              <w:rFonts w:ascii="Century Gothic" w:hAnsi="Century Gothic"/>
              <w:b/>
              <w:noProof/>
            </w:rPr>
            <w:drawing>
              <wp:anchor distT="0" distB="0" distL="114300" distR="114300" simplePos="0" relativeHeight="251659264" behindDoc="0" locked="0" layoutInCell="1" allowOverlap="1">
                <wp:simplePos x="0" y="0"/>
                <wp:positionH relativeFrom="column">
                  <wp:posOffset>-24130</wp:posOffset>
                </wp:positionH>
                <wp:positionV relativeFrom="paragraph">
                  <wp:posOffset>0</wp:posOffset>
                </wp:positionV>
                <wp:extent cx="1443990" cy="492125"/>
                <wp:effectExtent l="0" t="0" r="3810" b="3175"/>
                <wp:wrapTight wrapText="bothSides">
                  <wp:wrapPolygon edited="0">
                    <wp:start x="0" y="0"/>
                    <wp:lineTo x="0" y="20903"/>
                    <wp:lineTo x="21372" y="20903"/>
                    <wp:lineTo x="2137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3990" cy="492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44" w:type="dxa"/>
        </w:tcPr>
        <w:p w:rsidR="00075C04" w:rsidRDefault="00E26575" w:rsidP="00075C04">
          <w:pPr>
            <w:pStyle w:val="Header"/>
            <w:jc w:val="right"/>
            <w:rPr>
              <w:rFonts w:ascii="Century Gothic" w:hAnsi="Century Gothic"/>
              <w:b/>
              <w:spacing w:val="-2"/>
              <w:sz w:val="24"/>
            </w:rPr>
          </w:pPr>
          <w:r>
            <w:rPr>
              <w:rFonts w:ascii="Century Gothic" w:hAnsi="Century Gothic"/>
              <w:b/>
              <w:spacing w:val="-2"/>
              <w:sz w:val="24"/>
            </w:rPr>
            <w:t xml:space="preserve">TRIGGER </w:t>
          </w:r>
          <w:r w:rsidR="00F050E5">
            <w:rPr>
              <w:rFonts w:ascii="Century Gothic" w:hAnsi="Century Gothic"/>
              <w:b/>
              <w:spacing w:val="-2"/>
              <w:sz w:val="24"/>
            </w:rPr>
            <w:t>THUMB</w:t>
          </w:r>
          <w:bookmarkStart w:id="0" w:name="_GoBack"/>
          <w:bookmarkEnd w:id="0"/>
          <w:r w:rsidR="00D13E17">
            <w:rPr>
              <w:rFonts w:ascii="Century Gothic" w:hAnsi="Century Gothic"/>
              <w:b/>
              <w:spacing w:val="-2"/>
              <w:sz w:val="24"/>
            </w:rPr>
            <w:t xml:space="preserve"> </w:t>
          </w:r>
          <w:r w:rsidR="00A11720">
            <w:rPr>
              <w:rFonts w:ascii="Century Gothic" w:hAnsi="Century Gothic"/>
              <w:b/>
              <w:spacing w:val="-2"/>
              <w:sz w:val="24"/>
            </w:rPr>
            <w:t xml:space="preserve">POST-OP </w:t>
          </w:r>
          <w:r w:rsidR="00A2377B">
            <w:rPr>
              <w:rFonts w:ascii="Century Gothic" w:hAnsi="Century Gothic"/>
              <w:b/>
              <w:spacing w:val="-2"/>
              <w:sz w:val="24"/>
            </w:rPr>
            <w:t>GUIDELINE</w:t>
          </w:r>
        </w:p>
        <w:p w:rsidR="00075C04" w:rsidRPr="00AF5223" w:rsidRDefault="00A11720" w:rsidP="00A11720">
          <w:pPr>
            <w:pStyle w:val="Header"/>
            <w:jc w:val="right"/>
            <w:rPr>
              <w:rFonts w:ascii="Century Gothic" w:hAnsi="Century Gothic"/>
              <w:color w:val="BFBFBF"/>
              <w:sz w:val="16"/>
            </w:rPr>
          </w:pPr>
          <w:r>
            <w:rPr>
              <w:rFonts w:ascii="Century Gothic" w:hAnsi="Century Gothic"/>
              <w:b/>
              <w:spacing w:val="-2"/>
            </w:rPr>
            <w:t>JRMC Orthopedics</w:t>
          </w:r>
        </w:p>
      </w:tc>
    </w:tr>
  </w:tbl>
  <w:p w:rsidR="00075C04" w:rsidRDefault="00075C04" w:rsidP="00075C04">
    <w:pPr>
      <w:pStyle w:val="Header"/>
    </w:pPr>
    <w:r>
      <w:t xml:space="preserve"> </w:t>
    </w:r>
  </w:p>
  <w:p w:rsidR="00075C04" w:rsidRPr="006169F8" w:rsidRDefault="00075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E5" w:rsidRDefault="00F05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50F4"/>
    <w:multiLevelType w:val="hybridMultilevel"/>
    <w:tmpl w:val="A7F84FE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BC94745"/>
    <w:multiLevelType w:val="hybridMultilevel"/>
    <w:tmpl w:val="83920C4E"/>
    <w:lvl w:ilvl="0" w:tplc="386CF47A">
      <w:start w:val="2"/>
      <w:numFmt w:val="bullet"/>
      <w:lvlText w:val="-"/>
      <w:lvlJc w:val="left"/>
      <w:pPr>
        <w:ind w:left="936" w:hanging="360"/>
      </w:pPr>
      <w:rPr>
        <w:rFonts w:ascii="Calibri" w:eastAsiaTheme="minorHAnsi" w:hAnsi="Calibri" w:cstheme="minorBid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0DA2307B"/>
    <w:multiLevelType w:val="hybridMultilevel"/>
    <w:tmpl w:val="3BA6B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E656A0"/>
    <w:multiLevelType w:val="hybridMultilevel"/>
    <w:tmpl w:val="B3264280"/>
    <w:lvl w:ilvl="0" w:tplc="FA2E580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1E043332"/>
    <w:multiLevelType w:val="hybridMultilevel"/>
    <w:tmpl w:val="0F9081A0"/>
    <w:lvl w:ilvl="0" w:tplc="22F8E072">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2F7C7172"/>
    <w:multiLevelType w:val="hybridMultilevel"/>
    <w:tmpl w:val="B8261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307D99"/>
    <w:multiLevelType w:val="hybridMultilevel"/>
    <w:tmpl w:val="4CA4B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E754D3"/>
    <w:multiLevelType w:val="hybridMultilevel"/>
    <w:tmpl w:val="0F9081A0"/>
    <w:lvl w:ilvl="0" w:tplc="22F8E072">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15:restartNumberingAfterBreak="0">
    <w:nsid w:val="555D1991"/>
    <w:multiLevelType w:val="hybridMultilevel"/>
    <w:tmpl w:val="0F9081A0"/>
    <w:lvl w:ilvl="0" w:tplc="22F8E072">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15:restartNumberingAfterBreak="0">
    <w:nsid w:val="581C668E"/>
    <w:multiLevelType w:val="hybridMultilevel"/>
    <w:tmpl w:val="5E10F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F3626B"/>
    <w:multiLevelType w:val="hybridMultilevel"/>
    <w:tmpl w:val="0F9081A0"/>
    <w:lvl w:ilvl="0" w:tplc="22F8E072">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15:restartNumberingAfterBreak="0">
    <w:nsid w:val="66855633"/>
    <w:multiLevelType w:val="hybridMultilevel"/>
    <w:tmpl w:val="0F9081A0"/>
    <w:lvl w:ilvl="0" w:tplc="22F8E072">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6FAD208D"/>
    <w:multiLevelType w:val="hybridMultilevel"/>
    <w:tmpl w:val="2986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A61DF6"/>
    <w:multiLevelType w:val="hybridMultilevel"/>
    <w:tmpl w:val="8E3AC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9"/>
  </w:num>
  <w:num w:numId="5">
    <w:abstractNumId w:val="3"/>
  </w:num>
  <w:num w:numId="6">
    <w:abstractNumId w:val="8"/>
  </w:num>
  <w:num w:numId="7">
    <w:abstractNumId w:val="11"/>
  </w:num>
  <w:num w:numId="8">
    <w:abstractNumId w:val="4"/>
  </w:num>
  <w:num w:numId="9">
    <w:abstractNumId w:val="7"/>
  </w:num>
  <w:num w:numId="10">
    <w:abstractNumId w:val="10"/>
  </w:num>
  <w:num w:numId="11">
    <w:abstractNumId w:val="5"/>
  </w:num>
  <w:num w:numId="12">
    <w:abstractNumId w:val="2"/>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E29C72D-FCE8-4F87-B758-CB7663FF38E7}"/>
    <w:docVar w:name="dgnword-eventsink" w:val="334814072"/>
  </w:docVars>
  <w:rsids>
    <w:rsidRoot w:val="00BD1182"/>
    <w:rsid w:val="0000799E"/>
    <w:rsid w:val="00051D73"/>
    <w:rsid w:val="00075C04"/>
    <w:rsid w:val="00083913"/>
    <w:rsid w:val="000E0006"/>
    <w:rsid w:val="0011580F"/>
    <w:rsid w:val="001C2079"/>
    <w:rsid w:val="001D41D5"/>
    <w:rsid w:val="001E318E"/>
    <w:rsid w:val="0021775E"/>
    <w:rsid w:val="00220D69"/>
    <w:rsid w:val="002C763C"/>
    <w:rsid w:val="00326B02"/>
    <w:rsid w:val="00355F53"/>
    <w:rsid w:val="003575EC"/>
    <w:rsid w:val="00376317"/>
    <w:rsid w:val="003B4923"/>
    <w:rsid w:val="003D08B6"/>
    <w:rsid w:val="003D47F7"/>
    <w:rsid w:val="00434F83"/>
    <w:rsid w:val="004705A1"/>
    <w:rsid w:val="004D395A"/>
    <w:rsid w:val="004E3C1B"/>
    <w:rsid w:val="005002E2"/>
    <w:rsid w:val="005013C6"/>
    <w:rsid w:val="00545001"/>
    <w:rsid w:val="006169F8"/>
    <w:rsid w:val="00663187"/>
    <w:rsid w:val="006764B4"/>
    <w:rsid w:val="006B081C"/>
    <w:rsid w:val="006B5735"/>
    <w:rsid w:val="0070292E"/>
    <w:rsid w:val="00786F08"/>
    <w:rsid w:val="00790F03"/>
    <w:rsid w:val="007A22E6"/>
    <w:rsid w:val="007C129C"/>
    <w:rsid w:val="008006EB"/>
    <w:rsid w:val="00800B9B"/>
    <w:rsid w:val="0080552A"/>
    <w:rsid w:val="008308DC"/>
    <w:rsid w:val="00852491"/>
    <w:rsid w:val="00852D23"/>
    <w:rsid w:val="008825B4"/>
    <w:rsid w:val="0089674F"/>
    <w:rsid w:val="008B2CD4"/>
    <w:rsid w:val="008D74DC"/>
    <w:rsid w:val="008E1FD3"/>
    <w:rsid w:val="00904998"/>
    <w:rsid w:val="00995769"/>
    <w:rsid w:val="009957A5"/>
    <w:rsid w:val="00A11720"/>
    <w:rsid w:val="00A2377B"/>
    <w:rsid w:val="00A84977"/>
    <w:rsid w:val="00AB47E4"/>
    <w:rsid w:val="00AF0770"/>
    <w:rsid w:val="00B03910"/>
    <w:rsid w:val="00B259E9"/>
    <w:rsid w:val="00BD1182"/>
    <w:rsid w:val="00C228F6"/>
    <w:rsid w:val="00C37184"/>
    <w:rsid w:val="00CE0D05"/>
    <w:rsid w:val="00CF3888"/>
    <w:rsid w:val="00D13E17"/>
    <w:rsid w:val="00DA20CC"/>
    <w:rsid w:val="00DE26B8"/>
    <w:rsid w:val="00E042A2"/>
    <w:rsid w:val="00E26575"/>
    <w:rsid w:val="00E5395A"/>
    <w:rsid w:val="00E552E3"/>
    <w:rsid w:val="00E75483"/>
    <w:rsid w:val="00E9329D"/>
    <w:rsid w:val="00EA103D"/>
    <w:rsid w:val="00EB4144"/>
    <w:rsid w:val="00EB6D8E"/>
    <w:rsid w:val="00F050E5"/>
    <w:rsid w:val="00F1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A6CB93"/>
  <w15:chartTrackingRefBased/>
  <w15:docId w15:val="{1FC533DA-3049-46DD-9830-DE8B9BC5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0E5"/>
  </w:style>
  <w:style w:type="paragraph" w:styleId="Heading3">
    <w:name w:val="heading 3"/>
    <w:basedOn w:val="Normal"/>
    <w:link w:val="Heading3Char"/>
    <w:uiPriority w:val="9"/>
    <w:qFormat/>
    <w:rsid w:val="006631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B02"/>
    <w:pPr>
      <w:ind w:left="720"/>
      <w:contextualSpacing/>
    </w:pPr>
  </w:style>
  <w:style w:type="table" w:styleId="TableGrid">
    <w:name w:val="Table Grid"/>
    <w:basedOn w:val="TableNormal"/>
    <w:uiPriority w:val="39"/>
    <w:rsid w:val="00B25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5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C04"/>
  </w:style>
  <w:style w:type="paragraph" w:styleId="Footer">
    <w:name w:val="footer"/>
    <w:basedOn w:val="Normal"/>
    <w:link w:val="FooterChar"/>
    <w:uiPriority w:val="99"/>
    <w:unhideWhenUsed/>
    <w:rsid w:val="00075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C04"/>
  </w:style>
  <w:style w:type="paragraph" w:styleId="EnvelopeReturn">
    <w:name w:val="envelope return"/>
    <w:basedOn w:val="Normal"/>
    <w:rsid w:val="00075C04"/>
    <w:pPr>
      <w:spacing w:after="0" w:line="240" w:lineRule="auto"/>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20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D69"/>
    <w:rPr>
      <w:rFonts w:ascii="Segoe UI" w:hAnsi="Segoe UI" w:cs="Segoe UI"/>
      <w:sz w:val="18"/>
      <w:szCs w:val="18"/>
    </w:rPr>
  </w:style>
  <w:style w:type="paragraph" w:customStyle="1" w:styleId="paragraph--default">
    <w:name w:val="paragraph--default"/>
    <w:basedOn w:val="Normal"/>
    <w:rsid w:val="00E265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63187"/>
    <w:rPr>
      <w:rFonts w:ascii="Times New Roman" w:eastAsia="Times New Roman" w:hAnsi="Times New Roman" w:cs="Times New Roman"/>
      <w:b/>
      <w:bCs/>
      <w:sz w:val="27"/>
      <w:szCs w:val="27"/>
    </w:rPr>
  </w:style>
  <w:style w:type="paragraph" w:customStyle="1" w:styleId="main-body">
    <w:name w:val="main-body"/>
    <w:basedOn w:val="Normal"/>
    <w:rsid w:val="006631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631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263223">
      <w:bodyDiv w:val="1"/>
      <w:marLeft w:val="0"/>
      <w:marRight w:val="0"/>
      <w:marTop w:val="0"/>
      <w:marBottom w:val="0"/>
      <w:divBdr>
        <w:top w:val="none" w:sz="0" w:space="0" w:color="auto"/>
        <w:left w:val="none" w:sz="0" w:space="0" w:color="auto"/>
        <w:bottom w:val="none" w:sz="0" w:space="0" w:color="auto"/>
        <w:right w:val="none" w:sz="0" w:space="0" w:color="auto"/>
      </w:divBdr>
    </w:div>
    <w:div w:id="174360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Sanford Health</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Nill,Allison</dc:creator>
  <cp:keywords/>
  <dc:description/>
  <cp:lastModifiedBy>Anderson,Tracy (Rehab)</cp:lastModifiedBy>
  <cp:revision>2</cp:revision>
  <cp:lastPrinted>2019-07-25T17:01:00Z</cp:lastPrinted>
  <dcterms:created xsi:type="dcterms:W3CDTF">2019-08-06T15:19:00Z</dcterms:created>
  <dcterms:modified xsi:type="dcterms:W3CDTF">2019-08-06T15:19:00Z</dcterms:modified>
</cp:coreProperties>
</file>