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7064B1" w:rsidRDefault="00BE0B60" w:rsidP="00BE0B60">
      <w:pPr>
        <w:rPr>
          <w:rFonts w:ascii="Century Gothic" w:hAnsi="Century Gothic"/>
          <w:sz w:val="20"/>
          <w:szCs w:val="20"/>
        </w:rPr>
      </w:pPr>
      <w:r w:rsidRPr="008B43A0">
        <w:rPr>
          <w:rFonts w:ascii="Century Gothic" w:hAnsi="Century Gothic"/>
          <w:sz w:val="20"/>
          <w:szCs w:val="20"/>
        </w:rPr>
        <w:t xml:space="preserve">This rehabilitation program is </w:t>
      </w:r>
      <w:r w:rsidRPr="007064B1">
        <w:rPr>
          <w:rFonts w:ascii="Century Gothic" w:hAnsi="Century Gothic"/>
          <w:sz w:val="20"/>
          <w:szCs w:val="20"/>
        </w:rPr>
        <w:t xml:space="preserve">designed to return the individual to their </w:t>
      </w:r>
      <w:r w:rsidR="002B0440" w:rsidRPr="007064B1">
        <w:rPr>
          <w:rFonts w:ascii="Century Gothic" w:hAnsi="Century Gothic"/>
          <w:sz w:val="20"/>
          <w:szCs w:val="20"/>
        </w:rPr>
        <w:t xml:space="preserve">full </w:t>
      </w:r>
      <w:r w:rsidRPr="007064B1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r w:rsidR="00F8363A" w:rsidRPr="007064B1">
        <w:rPr>
          <w:rFonts w:ascii="Century Gothic" w:hAnsi="Century Gothic"/>
          <w:sz w:val="20"/>
          <w:szCs w:val="20"/>
        </w:rPr>
        <w:t>patellar dislocation</w:t>
      </w:r>
      <w:r w:rsidRPr="007064B1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F8363A" w:rsidRPr="007064B1">
        <w:rPr>
          <w:rFonts w:ascii="Century Gothic" w:hAnsi="Century Gothic"/>
          <w:sz w:val="20"/>
          <w:szCs w:val="20"/>
        </w:rPr>
        <w:t>patellar dislocation</w:t>
      </w:r>
      <w:r w:rsidRPr="007064B1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</w:t>
      </w:r>
      <w:bookmarkStart w:id="0" w:name="_GoBack"/>
      <w:bookmarkEnd w:id="0"/>
      <w:r w:rsidRPr="007064B1">
        <w:rPr>
          <w:rFonts w:ascii="Century Gothic" w:hAnsi="Century Gothic"/>
          <w:sz w:val="20"/>
          <w:szCs w:val="20"/>
        </w:rPr>
        <w:t xml:space="preserve">herapist may modify the program appropriately depending on the individual’s goals for activity following </w:t>
      </w:r>
      <w:r w:rsidR="000C59B9" w:rsidRPr="007064B1">
        <w:rPr>
          <w:rFonts w:ascii="Century Gothic" w:hAnsi="Century Gothic"/>
          <w:sz w:val="20"/>
          <w:szCs w:val="20"/>
        </w:rPr>
        <w:t xml:space="preserve">a </w:t>
      </w:r>
      <w:r w:rsidR="00F8363A" w:rsidRPr="007064B1">
        <w:rPr>
          <w:rFonts w:ascii="Century Gothic" w:hAnsi="Century Gothic"/>
          <w:sz w:val="20"/>
          <w:szCs w:val="20"/>
        </w:rPr>
        <w:t>patellar dislocation</w:t>
      </w:r>
      <w:r w:rsidRPr="007064B1">
        <w:rPr>
          <w:rFonts w:ascii="Century Gothic" w:hAnsi="Century Gothic"/>
          <w:sz w:val="20"/>
          <w:szCs w:val="20"/>
        </w:rPr>
        <w:t xml:space="preserve">. </w:t>
      </w:r>
    </w:p>
    <w:p w:rsidR="00CF66E8" w:rsidRPr="007064B1" w:rsidRDefault="00BE0B60" w:rsidP="00493DF9">
      <w:pPr>
        <w:rPr>
          <w:rFonts w:ascii="Century Gothic" w:hAnsi="Century Gothic"/>
          <w:sz w:val="20"/>
          <w:szCs w:val="20"/>
        </w:rPr>
      </w:pPr>
      <w:r w:rsidRPr="007064B1">
        <w:rPr>
          <w:rFonts w:ascii="Century Gothic" w:hAnsi="Century Gothic"/>
          <w:sz w:val="20"/>
          <w:szCs w:val="20"/>
        </w:rPr>
        <w:t>This guideline is intended to provide the treating clinician a frame of reference for rehabilitation. It is not intended to substitute clinical judgment based on exam/treatment findings, individual progress, and/or the presence of concomitant procedures</w:t>
      </w:r>
      <w:r w:rsidR="00CE6758" w:rsidRPr="007064B1">
        <w:rPr>
          <w:rFonts w:ascii="Century Gothic" w:hAnsi="Century Gothic"/>
          <w:sz w:val="20"/>
          <w:szCs w:val="20"/>
        </w:rPr>
        <w:t xml:space="preserve">. </w:t>
      </w:r>
      <w:r w:rsidRPr="007064B1">
        <w:rPr>
          <w:rFonts w:ascii="Century Gothic" w:hAnsi="Century Gothic"/>
          <w:sz w:val="20"/>
          <w:szCs w:val="20"/>
        </w:rPr>
        <w:t xml:space="preserve">If the clinician should have questions regarding progression, they should contact the referring physician. </w:t>
      </w:r>
    </w:p>
    <w:p w:rsidR="00493DF9" w:rsidRPr="007064B1" w:rsidRDefault="00493DF9" w:rsidP="00493DF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7064B1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7064B1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64B1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7064B1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64B1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7064B1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064B1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D758C0" w:rsidRPr="007064B1" w:rsidTr="00B77F97">
        <w:trPr>
          <w:trHeight w:val="2447"/>
        </w:trPr>
        <w:tc>
          <w:tcPr>
            <w:tcW w:w="2515" w:type="dxa"/>
            <w:tcBorders>
              <w:top w:val="double" w:sz="4" w:space="0" w:color="auto"/>
            </w:tcBorders>
          </w:tcPr>
          <w:p w:rsidR="00EA1B00" w:rsidRPr="007064B1" w:rsidRDefault="00EA1B00" w:rsidP="00F8363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443834" w:rsidRPr="007064B1" w:rsidRDefault="00F8363A" w:rsidP="00F8363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sz w:val="20"/>
                <w:szCs w:val="20"/>
              </w:rPr>
              <w:t>Weeks 0-2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CE4C44" w:rsidRPr="007064B1" w:rsidRDefault="00CE4C44" w:rsidP="00CE4C44">
            <w:p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sz w:val="20"/>
                <w:szCs w:val="20"/>
              </w:rPr>
              <w:t>WB status:</w:t>
            </w:r>
            <w:r w:rsidRPr="007064B1">
              <w:rPr>
                <w:rFonts w:ascii="Century Gothic" w:hAnsi="Century Gothic"/>
                <w:sz w:val="20"/>
                <w:szCs w:val="20"/>
              </w:rPr>
              <w:t xml:space="preserve"> WBAT with knee immobilizer or patella stabilizing brace</w:t>
            </w:r>
          </w:p>
          <w:p w:rsidR="00CE4C44" w:rsidRPr="007064B1" w:rsidRDefault="00CE4C44" w:rsidP="00CE4C4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sz w:val="20"/>
                <w:szCs w:val="20"/>
              </w:rPr>
              <w:t xml:space="preserve">Therapy: </w:t>
            </w:r>
          </w:p>
          <w:p w:rsidR="00F526C6" w:rsidRPr="007064B1" w:rsidRDefault="00CE4C44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Nustep or</w:t>
            </w:r>
            <w:r w:rsidR="00F526C6" w:rsidRPr="007064B1">
              <w:rPr>
                <w:rFonts w:ascii="Century Gothic" w:hAnsi="Century Gothic"/>
                <w:sz w:val="20"/>
                <w:szCs w:val="20"/>
              </w:rPr>
              <w:t xml:space="preserve"> upright bike as tolerated </w:t>
            </w:r>
          </w:p>
          <w:p w:rsidR="00443834" w:rsidRPr="007064B1" w:rsidRDefault="00F526C6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Heel slides, quad sets, straight leg raises</w:t>
            </w:r>
            <w:r w:rsidR="00B6713F" w:rsidRPr="007064B1">
              <w:rPr>
                <w:rFonts w:ascii="Century Gothic" w:hAnsi="Century Gothic"/>
                <w:sz w:val="20"/>
                <w:szCs w:val="20"/>
              </w:rPr>
              <w:t>, 4 way hip</w:t>
            </w:r>
            <w:r w:rsidR="006061C9" w:rsidRPr="007064B1">
              <w:rPr>
                <w:rFonts w:ascii="Century Gothic" w:hAnsi="Century Gothic"/>
                <w:sz w:val="20"/>
                <w:szCs w:val="20"/>
              </w:rPr>
              <w:t>, VMO activation exercises</w:t>
            </w:r>
          </w:p>
          <w:p w:rsidR="00F526C6" w:rsidRPr="007064B1" w:rsidRDefault="00F526C6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NMES for quad activation</w:t>
            </w:r>
          </w:p>
          <w:p w:rsidR="00F82F1C" w:rsidRPr="007064B1" w:rsidRDefault="00F82F1C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Balance/Proprioception starting with double leg stance</w:t>
            </w:r>
          </w:p>
          <w:p w:rsidR="00F526C6" w:rsidRPr="007064B1" w:rsidRDefault="00F526C6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Modalities for reduction of effusion and pain relief</w:t>
            </w:r>
          </w:p>
          <w:p w:rsidR="003402BA" w:rsidRPr="007064B1" w:rsidRDefault="003402BA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 xml:space="preserve">Patellar mobilizations for proper patellar tracking  </w:t>
            </w:r>
          </w:p>
          <w:p w:rsidR="006061C9" w:rsidRPr="007064B1" w:rsidRDefault="006061C9" w:rsidP="00F526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Calf/hip/core strength exercises in unloaded position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443834" w:rsidRPr="007064B1" w:rsidRDefault="00274C8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sz w:val="20"/>
                <w:szCs w:val="20"/>
              </w:rPr>
              <w:t xml:space="preserve">Goals of Phase: </w:t>
            </w:r>
          </w:p>
          <w:p w:rsidR="00274C8C" w:rsidRPr="007064B1" w:rsidRDefault="00274C8C" w:rsidP="00274C8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Control pain</w:t>
            </w:r>
          </w:p>
          <w:p w:rsidR="00274C8C" w:rsidRPr="007064B1" w:rsidRDefault="00CE6758" w:rsidP="00274C8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Reduce</w:t>
            </w:r>
            <w:r w:rsidR="00274C8C" w:rsidRPr="007064B1">
              <w:rPr>
                <w:rFonts w:ascii="Century Gothic" w:hAnsi="Century Gothic"/>
                <w:sz w:val="20"/>
                <w:szCs w:val="20"/>
              </w:rPr>
              <w:t xml:space="preserve"> effusion</w:t>
            </w:r>
          </w:p>
          <w:p w:rsidR="00274C8C" w:rsidRPr="007064B1" w:rsidRDefault="00274C8C" w:rsidP="00274C8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Improve quadriceps contraction</w:t>
            </w:r>
          </w:p>
          <w:p w:rsidR="00274C8C" w:rsidRPr="007064B1" w:rsidRDefault="00274C8C" w:rsidP="00274C8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 xml:space="preserve">Gradually progress </w:t>
            </w:r>
            <w:r w:rsidR="00CE6758" w:rsidRPr="007064B1">
              <w:rPr>
                <w:rFonts w:ascii="Century Gothic" w:hAnsi="Century Gothic"/>
                <w:sz w:val="20"/>
                <w:szCs w:val="20"/>
              </w:rPr>
              <w:t xml:space="preserve">knee </w:t>
            </w:r>
            <w:r w:rsidRPr="007064B1">
              <w:rPr>
                <w:rFonts w:ascii="Century Gothic" w:hAnsi="Century Gothic"/>
                <w:sz w:val="20"/>
                <w:szCs w:val="20"/>
              </w:rPr>
              <w:t>ROM</w:t>
            </w:r>
          </w:p>
        </w:tc>
      </w:tr>
      <w:tr w:rsidR="00D758C0" w:rsidRPr="007064B1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7064B1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7064B1" w:rsidRDefault="00CE4C44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sz w:val="20"/>
                <w:szCs w:val="20"/>
              </w:rPr>
              <w:t>Weeks 2-4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DF2A9D" w:rsidRPr="007064B1" w:rsidRDefault="00DF2A9D" w:rsidP="0080156B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WB status: </w:t>
            </w: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FWB, wean from crutches as appropriate </w:t>
            </w:r>
          </w:p>
          <w:p w:rsidR="00406EE5" w:rsidRPr="007064B1" w:rsidRDefault="001E5543" w:rsidP="0080156B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</w:t>
            </w:r>
            <w:r w:rsidR="00D22D16" w:rsidRPr="007064B1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:</w:t>
            </w:r>
          </w:p>
          <w:p w:rsidR="007B7857" w:rsidRPr="007064B1" w:rsidRDefault="00B6713F" w:rsidP="007B785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Closed kinetic chain exercises: Total gym/leg press, partial squats, step ups</w:t>
            </w:r>
          </w:p>
          <w:p w:rsidR="007B7857" w:rsidRPr="007064B1" w:rsidRDefault="007B7857" w:rsidP="007B785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Single leg balance</w:t>
            </w:r>
          </w:p>
          <w:p w:rsidR="002624FB" w:rsidRPr="007064B1" w:rsidRDefault="002624FB" w:rsidP="007B785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Anti-gravity treadmill</w:t>
            </w:r>
          </w:p>
          <w:p w:rsidR="002624FB" w:rsidRPr="007064B1" w:rsidRDefault="002624FB" w:rsidP="007B785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 xml:space="preserve">Glute/core strengthening to prevent </w:t>
            </w:r>
            <w:r w:rsidR="00496B5F" w:rsidRPr="007064B1">
              <w:rPr>
                <w:rFonts w:ascii="Century Gothic" w:hAnsi="Century Gothic"/>
                <w:sz w:val="20"/>
                <w:szCs w:val="20"/>
              </w:rPr>
              <w:t xml:space="preserve">knee valgus deformity </w:t>
            </w:r>
          </w:p>
          <w:p w:rsidR="003402BA" w:rsidRPr="007064B1" w:rsidRDefault="003402BA" w:rsidP="007B785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 xml:space="preserve">Patellar mobilizations for proper patellar tracking; patellar taping as needed </w:t>
            </w:r>
          </w:p>
          <w:p w:rsidR="00A10500" w:rsidRPr="007064B1" w:rsidRDefault="00A10500" w:rsidP="00A10500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F82F1C" w:rsidRPr="007064B1" w:rsidRDefault="00F82F1C" w:rsidP="00F82F1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6713F" w:rsidRPr="007064B1" w:rsidRDefault="00E5395A" w:rsidP="00B6713F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Goals of Phase:</w:t>
            </w:r>
          </w:p>
          <w:p w:rsidR="00B6713F" w:rsidRPr="007064B1" w:rsidRDefault="00B6713F" w:rsidP="00B6713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Return to full knee ROM</w:t>
            </w:r>
          </w:p>
          <w:p w:rsidR="00B6713F" w:rsidRPr="007064B1" w:rsidRDefault="00E526C0" w:rsidP="00B6713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N</w:t>
            </w:r>
            <w:r w:rsidR="00A10500" w:rsidRPr="007064B1">
              <w:rPr>
                <w:rFonts w:ascii="Century Gothic" w:hAnsi="Century Gothic"/>
                <w:sz w:val="20"/>
                <w:szCs w:val="20"/>
              </w:rPr>
              <w:t>o quadriceps extension lag</w:t>
            </w:r>
          </w:p>
          <w:p w:rsidR="00B6713F" w:rsidRPr="007064B1" w:rsidRDefault="00DF2A9D" w:rsidP="00B6713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7064B1">
              <w:rPr>
                <w:rFonts w:ascii="Century Gothic" w:hAnsi="Century Gothic"/>
                <w:sz w:val="20"/>
                <w:szCs w:val="20"/>
              </w:rPr>
              <w:t>Normalized gait pattern with brace</w:t>
            </w:r>
          </w:p>
        </w:tc>
      </w:tr>
      <w:tr w:rsidR="00D758C0" w:rsidRPr="007064B1" w:rsidTr="00FA6E57">
        <w:trPr>
          <w:trHeight w:val="1790"/>
        </w:trPr>
        <w:tc>
          <w:tcPr>
            <w:tcW w:w="2515" w:type="dxa"/>
          </w:tcPr>
          <w:p w:rsidR="00E5395A" w:rsidRPr="007064B1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7064B1" w:rsidRDefault="00D3753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sz w:val="20"/>
                <w:szCs w:val="20"/>
              </w:rPr>
              <w:t xml:space="preserve">Weeks </w:t>
            </w:r>
            <w:r w:rsidR="00DF2A9D" w:rsidRPr="007064B1">
              <w:rPr>
                <w:rFonts w:ascii="Century Gothic" w:hAnsi="Century Gothic"/>
                <w:i/>
                <w:sz w:val="20"/>
                <w:szCs w:val="20"/>
              </w:rPr>
              <w:t>4-</w:t>
            </w:r>
            <w:r w:rsidR="008B481B" w:rsidRPr="007064B1">
              <w:rPr>
                <w:rFonts w:ascii="Century Gothic" w:hAnsi="Century Gothic"/>
                <w:i/>
                <w:sz w:val="20"/>
                <w:szCs w:val="20"/>
              </w:rPr>
              <w:t>8</w:t>
            </w:r>
          </w:p>
          <w:p w:rsidR="00D37530" w:rsidRPr="007064B1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4A0B71" w:rsidRPr="007064B1" w:rsidRDefault="004A0B71" w:rsidP="008E1645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May wean from brace </w:t>
            </w:r>
            <w:r w:rsidR="001476BD"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 and taping as quadriceps function improves (week 6)</w:t>
            </w:r>
          </w:p>
          <w:p w:rsidR="003B2BD4" w:rsidRPr="007064B1" w:rsidRDefault="00DF2A9D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</w:t>
            </w:r>
            <w:r w:rsidR="00D22D16" w:rsidRPr="007064B1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:</w:t>
            </w:r>
          </w:p>
          <w:p w:rsidR="002624FB" w:rsidRPr="007064B1" w:rsidRDefault="002624FB" w:rsidP="002624FB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Elliptical, treadmill</w:t>
            </w:r>
          </w:p>
          <w:p w:rsidR="008B481B" w:rsidRPr="007064B1" w:rsidRDefault="008B481B" w:rsidP="008B481B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Squats, </w:t>
            </w:r>
            <w:r w:rsidR="0069142D"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multi-directional </w:t>
            </w: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lunges, step-ups</w:t>
            </w:r>
          </w:p>
          <w:p w:rsidR="008B481B" w:rsidRPr="007064B1" w:rsidRDefault="008B481B" w:rsidP="008B481B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Single leg isotonic exercises</w:t>
            </w:r>
          </w:p>
          <w:p w:rsidR="00280045" w:rsidRPr="007064B1" w:rsidRDefault="008B481B" w:rsidP="00280045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Single leg dynamic balance activities</w:t>
            </w:r>
          </w:p>
          <w:p w:rsidR="008B481B" w:rsidRPr="007064B1" w:rsidRDefault="00280045" w:rsidP="00280045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A</w:t>
            </w:r>
            <w:r w:rsidR="00277298"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gility drills and plyometrics</w:t>
            </w:r>
          </w:p>
          <w:p w:rsidR="003B2BD4" w:rsidRPr="007064B1" w:rsidRDefault="003B2BD4" w:rsidP="00DF2A9D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7064B1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6B11AD" w:rsidRPr="007064B1" w:rsidRDefault="008B481B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color w:val="auto"/>
                <w:sz w:val="20"/>
                <w:szCs w:val="20"/>
              </w:rPr>
              <w:t>No effusion</w:t>
            </w:r>
          </w:p>
          <w:p w:rsidR="008B481B" w:rsidRPr="007064B1" w:rsidRDefault="008B481B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color w:val="auto"/>
                <w:sz w:val="20"/>
                <w:szCs w:val="20"/>
              </w:rPr>
              <w:t xml:space="preserve">No pain with functional activities </w:t>
            </w:r>
          </w:p>
          <w:p w:rsidR="008B481B" w:rsidRPr="007064B1" w:rsidRDefault="0069142D" w:rsidP="00D758C0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color w:val="auto"/>
                <w:sz w:val="20"/>
                <w:szCs w:val="20"/>
              </w:rPr>
              <w:t>Proper form with functional exercises</w:t>
            </w:r>
          </w:p>
        </w:tc>
      </w:tr>
      <w:tr w:rsidR="00D758C0" w:rsidRPr="00F14542" w:rsidTr="00381F9D">
        <w:trPr>
          <w:trHeight w:val="1509"/>
        </w:trPr>
        <w:tc>
          <w:tcPr>
            <w:tcW w:w="2515" w:type="dxa"/>
          </w:tcPr>
          <w:p w:rsidR="006B11AD" w:rsidRPr="007064B1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B65F2E" w:rsidRPr="007064B1" w:rsidRDefault="002258AD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Weeks </w:t>
            </w:r>
            <w:r w:rsidR="00EA1B00" w:rsidRPr="007064B1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8+</w:t>
            </w:r>
          </w:p>
          <w:p w:rsidR="00B65F2E" w:rsidRPr="007064B1" w:rsidRDefault="00B65F2E" w:rsidP="008E1645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7064B1" w:rsidRDefault="00602B81" w:rsidP="008E1645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Therapy</w:t>
            </w:r>
            <w:r w:rsidR="00D22D16" w:rsidRPr="007064B1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:</w:t>
            </w:r>
          </w:p>
          <w:p w:rsidR="00D22D16" w:rsidRPr="007064B1" w:rsidRDefault="00D22D16" w:rsidP="00D22D16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Sport-specific drills</w:t>
            </w:r>
          </w:p>
          <w:p w:rsidR="00D22D16" w:rsidRPr="007064B1" w:rsidRDefault="0069142D" w:rsidP="00D22D16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Return to running </w:t>
            </w:r>
          </w:p>
          <w:p w:rsidR="00434851" w:rsidRPr="007064B1" w:rsidRDefault="00434851" w:rsidP="00D22D16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Consider Return to Sport/Activity &amp; Discharge Criteria-Lower Extremity</w:t>
            </w:r>
          </w:p>
          <w:p w:rsidR="00333A91" w:rsidRPr="007064B1" w:rsidRDefault="00333A91" w:rsidP="00A666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3A0403" w:rsidRPr="007064B1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064B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6536EA" w:rsidRPr="007064B1" w:rsidRDefault="008B481B" w:rsidP="0078304B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color w:val="auto"/>
                <w:sz w:val="20"/>
                <w:szCs w:val="20"/>
              </w:rPr>
              <w:t>Full strength with MMT</w:t>
            </w:r>
          </w:p>
          <w:p w:rsidR="008B481B" w:rsidRPr="007064B1" w:rsidRDefault="008B481B" w:rsidP="00381F9D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064B1">
              <w:rPr>
                <w:rFonts w:ascii="Century Gothic" w:hAnsi="Century Gothic"/>
                <w:color w:val="auto"/>
                <w:sz w:val="20"/>
                <w:szCs w:val="20"/>
              </w:rPr>
              <w:t xml:space="preserve">Within </w:t>
            </w:r>
            <w:r w:rsidR="00381F9D" w:rsidRPr="007064B1">
              <w:rPr>
                <w:rFonts w:ascii="Century Gothic" w:hAnsi="Century Gothic"/>
                <w:color w:val="auto"/>
                <w:sz w:val="20"/>
                <w:szCs w:val="20"/>
              </w:rPr>
              <w:t>85-90</w:t>
            </w:r>
            <w:r w:rsidR="00BB3CCB" w:rsidRPr="007064B1">
              <w:rPr>
                <w:rFonts w:ascii="Century Gothic" w:hAnsi="Century Gothic"/>
                <w:color w:val="auto"/>
                <w:sz w:val="20"/>
                <w:szCs w:val="20"/>
              </w:rPr>
              <w:t>% of opposite LE with Y-</w:t>
            </w:r>
            <w:r w:rsidRPr="007064B1">
              <w:rPr>
                <w:rFonts w:ascii="Century Gothic" w:hAnsi="Century Gothic"/>
                <w:color w:val="auto"/>
                <w:sz w:val="20"/>
                <w:szCs w:val="20"/>
              </w:rPr>
              <w:t>balance test or</w:t>
            </w:r>
            <w:r w:rsidR="00381F9D" w:rsidRPr="007064B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single leg</w:t>
            </w:r>
            <w:r w:rsidRPr="007064B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jumping tests</w:t>
            </w:r>
            <w:r w:rsidR="00DE1E47" w:rsidRPr="007064B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and two legged hop test</w:t>
            </w:r>
            <w:r w:rsidR="00D22D16" w:rsidRPr="007064B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if appropriate </w:t>
            </w:r>
          </w:p>
        </w:tc>
      </w:tr>
    </w:tbl>
    <w:p w:rsidR="00B259E9" w:rsidRPr="00F14542" w:rsidRDefault="00B259E9" w:rsidP="005D6B2F">
      <w:pPr>
        <w:rPr>
          <w:rFonts w:ascii="Century Gothic" w:hAnsi="Century Gothic"/>
          <w:sz w:val="20"/>
          <w:szCs w:val="20"/>
        </w:rPr>
      </w:pPr>
    </w:p>
    <w:sectPr w:rsidR="00B259E9" w:rsidRPr="00F14542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AF" w:rsidRDefault="005158AF" w:rsidP="00075C04">
      <w:pPr>
        <w:spacing w:after="0" w:line="240" w:lineRule="auto"/>
      </w:pPr>
      <w:r>
        <w:separator/>
      </w:r>
    </w:p>
  </w:endnote>
  <w:endnote w:type="continuationSeparator" w:id="0">
    <w:p w:rsidR="005158AF" w:rsidRDefault="005158A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B1" w:rsidRPr="007064B1" w:rsidRDefault="006169F8" w:rsidP="007064B1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  <w:rPr>
        <w:sz w:val="12"/>
      </w:rPr>
    </w:pPr>
    <w:r w:rsidRPr="006169F8">
      <w:rPr>
        <w:sz w:val="12"/>
      </w:rPr>
      <w:t xml:space="preserve">Last Updated: </w:t>
    </w:r>
    <w:r w:rsidR="007064B1">
      <w:rPr>
        <w:sz w:val="12"/>
      </w:rPr>
      <w:t>04/20/2023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EF6AC7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EF6AC7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AF" w:rsidRDefault="005158AF" w:rsidP="00075C04">
      <w:pPr>
        <w:spacing w:after="0" w:line="240" w:lineRule="auto"/>
      </w:pPr>
      <w:r>
        <w:separator/>
      </w:r>
    </w:p>
  </w:footnote>
  <w:footnote w:type="continuationSeparator" w:id="0">
    <w:p w:rsidR="005158AF" w:rsidRDefault="005158A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8B43A0" w:rsidRPr="008B43A0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8B43A0" w:rsidRDefault="00F8363A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PATELLAR DISLOCATION</w:t>
          </w:r>
          <w:r w:rsidR="00286FCA" w:rsidRPr="008B43A0">
            <w:rPr>
              <w:rFonts w:ascii="Century Gothic" w:hAnsi="Century Gothic"/>
              <w:b/>
              <w:spacing w:val="-2"/>
              <w:sz w:val="24"/>
            </w:rPr>
            <w:t xml:space="preserve"> GUIDELINE</w:t>
          </w:r>
        </w:p>
        <w:p w:rsidR="00075C04" w:rsidRPr="008B43A0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 w:rsidRPr="008B43A0"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8B43A0" w:rsidRDefault="00075C04" w:rsidP="00075C04">
          <w:pPr>
            <w:pStyle w:val="Header"/>
            <w:jc w:val="right"/>
            <w:rPr>
              <w:rFonts w:ascii="Century Gothic" w:hAnsi="Century Gothic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A5B"/>
    <w:multiLevelType w:val="hybridMultilevel"/>
    <w:tmpl w:val="085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6A7"/>
    <w:multiLevelType w:val="hybridMultilevel"/>
    <w:tmpl w:val="9868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C2FA1"/>
    <w:multiLevelType w:val="hybridMultilevel"/>
    <w:tmpl w:val="D01A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902"/>
    <w:multiLevelType w:val="hybridMultilevel"/>
    <w:tmpl w:val="C174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6533"/>
    <w:multiLevelType w:val="hybridMultilevel"/>
    <w:tmpl w:val="3E5E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7777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C05B8"/>
    <w:multiLevelType w:val="hybridMultilevel"/>
    <w:tmpl w:val="CE2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63AD"/>
    <w:multiLevelType w:val="hybridMultilevel"/>
    <w:tmpl w:val="523E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C668E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5A7C"/>
    <w:multiLevelType w:val="hybridMultilevel"/>
    <w:tmpl w:val="0BBE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22459"/>
    <w:multiLevelType w:val="hybridMultilevel"/>
    <w:tmpl w:val="6C5C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56D72"/>
    <w:multiLevelType w:val="hybridMultilevel"/>
    <w:tmpl w:val="F6E6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A377D"/>
    <w:multiLevelType w:val="hybridMultilevel"/>
    <w:tmpl w:val="AB6A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144D9"/>
    <w:multiLevelType w:val="hybridMultilevel"/>
    <w:tmpl w:val="D8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D75EA"/>
    <w:multiLevelType w:val="hybridMultilevel"/>
    <w:tmpl w:val="CCFA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473C5"/>
    <w:multiLevelType w:val="hybridMultilevel"/>
    <w:tmpl w:val="430E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7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603C64-993F-418E-975E-63FDD1225555}"/>
    <w:docVar w:name="dgnword-eventsink" w:val="483620680"/>
  </w:docVars>
  <w:rsids>
    <w:rsidRoot w:val="00BD1182"/>
    <w:rsid w:val="00034F77"/>
    <w:rsid w:val="00071AB8"/>
    <w:rsid w:val="00075C04"/>
    <w:rsid w:val="00091493"/>
    <w:rsid w:val="000B3CAC"/>
    <w:rsid w:val="000C59B9"/>
    <w:rsid w:val="000E0006"/>
    <w:rsid w:val="000F5A27"/>
    <w:rsid w:val="001026AB"/>
    <w:rsid w:val="001476BD"/>
    <w:rsid w:val="00151CEB"/>
    <w:rsid w:val="00165F60"/>
    <w:rsid w:val="00167FF5"/>
    <w:rsid w:val="00182EDE"/>
    <w:rsid w:val="00186B28"/>
    <w:rsid w:val="00195069"/>
    <w:rsid w:val="001A7AC0"/>
    <w:rsid w:val="001B39D0"/>
    <w:rsid w:val="001B752D"/>
    <w:rsid w:val="001C6825"/>
    <w:rsid w:val="001D1D38"/>
    <w:rsid w:val="001E318E"/>
    <w:rsid w:val="001E5543"/>
    <w:rsid w:val="001F3C28"/>
    <w:rsid w:val="001F7B39"/>
    <w:rsid w:val="002251D6"/>
    <w:rsid w:val="002258AD"/>
    <w:rsid w:val="002464F1"/>
    <w:rsid w:val="002624FB"/>
    <w:rsid w:val="00274C8C"/>
    <w:rsid w:val="00277298"/>
    <w:rsid w:val="00280045"/>
    <w:rsid w:val="00286FCA"/>
    <w:rsid w:val="002B0440"/>
    <w:rsid w:val="002B3719"/>
    <w:rsid w:val="003113E4"/>
    <w:rsid w:val="00326B02"/>
    <w:rsid w:val="00333A91"/>
    <w:rsid w:val="003402BA"/>
    <w:rsid w:val="003575EC"/>
    <w:rsid w:val="00381F9D"/>
    <w:rsid w:val="003A0403"/>
    <w:rsid w:val="003B1725"/>
    <w:rsid w:val="003B2BD4"/>
    <w:rsid w:val="003B4923"/>
    <w:rsid w:val="003D08B6"/>
    <w:rsid w:val="003D1DB2"/>
    <w:rsid w:val="00406EE5"/>
    <w:rsid w:val="00434851"/>
    <w:rsid w:val="00443834"/>
    <w:rsid w:val="00493DF9"/>
    <w:rsid w:val="00496B5F"/>
    <w:rsid w:val="004A0B71"/>
    <w:rsid w:val="004B39C1"/>
    <w:rsid w:val="004E622F"/>
    <w:rsid w:val="004F2A1C"/>
    <w:rsid w:val="005158AF"/>
    <w:rsid w:val="005302B3"/>
    <w:rsid w:val="00541EFF"/>
    <w:rsid w:val="005611F8"/>
    <w:rsid w:val="005950B8"/>
    <w:rsid w:val="005B35B3"/>
    <w:rsid w:val="005B40ED"/>
    <w:rsid w:val="005D6B2F"/>
    <w:rsid w:val="005E31C1"/>
    <w:rsid w:val="00602B81"/>
    <w:rsid w:val="006061C9"/>
    <w:rsid w:val="006169F8"/>
    <w:rsid w:val="006406EF"/>
    <w:rsid w:val="006409E6"/>
    <w:rsid w:val="006536EA"/>
    <w:rsid w:val="006569C9"/>
    <w:rsid w:val="00670DDC"/>
    <w:rsid w:val="0069142D"/>
    <w:rsid w:val="006B11AD"/>
    <w:rsid w:val="006C2D6B"/>
    <w:rsid w:val="006D3180"/>
    <w:rsid w:val="006D65D8"/>
    <w:rsid w:val="007064B1"/>
    <w:rsid w:val="007140EC"/>
    <w:rsid w:val="00735161"/>
    <w:rsid w:val="007634F8"/>
    <w:rsid w:val="00776AAC"/>
    <w:rsid w:val="0078304B"/>
    <w:rsid w:val="007B7857"/>
    <w:rsid w:val="007C1A7F"/>
    <w:rsid w:val="007E7280"/>
    <w:rsid w:val="0080156B"/>
    <w:rsid w:val="00853259"/>
    <w:rsid w:val="00873A2A"/>
    <w:rsid w:val="0089327A"/>
    <w:rsid w:val="008B43A0"/>
    <w:rsid w:val="008B481B"/>
    <w:rsid w:val="008E1645"/>
    <w:rsid w:val="00904998"/>
    <w:rsid w:val="00904C34"/>
    <w:rsid w:val="00944948"/>
    <w:rsid w:val="00957370"/>
    <w:rsid w:val="009667F0"/>
    <w:rsid w:val="00983B6A"/>
    <w:rsid w:val="00995769"/>
    <w:rsid w:val="009A5EE7"/>
    <w:rsid w:val="009B75AA"/>
    <w:rsid w:val="009C3B22"/>
    <w:rsid w:val="009E3831"/>
    <w:rsid w:val="009F0F99"/>
    <w:rsid w:val="00A10500"/>
    <w:rsid w:val="00A610F0"/>
    <w:rsid w:val="00A64E79"/>
    <w:rsid w:val="00A66608"/>
    <w:rsid w:val="00A86EB6"/>
    <w:rsid w:val="00A943CF"/>
    <w:rsid w:val="00AB0774"/>
    <w:rsid w:val="00AB73E4"/>
    <w:rsid w:val="00AC0026"/>
    <w:rsid w:val="00AC045E"/>
    <w:rsid w:val="00AC704F"/>
    <w:rsid w:val="00AE58A2"/>
    <w:rsid w:val="00B24666"/>
    <w:rsid w:val="00B259E9"/>
    <w:rsid w:val="00B65F2E"/>
    <w:rsid w:val="00B6713F"/>
    <w:rsid w:val="00B77F97"/>
    <w:rsid w:val="00BB3CCB"/>
    <w:rsid w:val="00BC017B"/>
    <w:rsid w:val="00BC4861"/>
    <w:rsid w:val="00BD1182"/>
    <w:rsid w:val="00BE0B60"/>
    <w:rsid w:val="00BF6B9F"/>
    <w:rsid w:val="00C429A0"/>
    <w:rsid w:val="00C53ADB"/>
    <w:rsid w:val="00C64B56"/>
    <w:rsid w:val="00C671F1"/>
    <w:rsid w:val="00C718C9"/>
    <w:rsid w:val="00C92054"/>
    <w:rsid w:val="00CB523E"/>
    <w:rsid w:val="00CE4C44"/>
    <w:rsid w:val="00CE6758"/>
    <w:rsid w:val="00CF3888"/>
    <w:rsid w:val="00CF66E8"/>
    <w:rsid w:val="00D22D16"/>
    <w:rsid w:val="00D37530"/>
    <w:rsid w:val="00D53FD1"/>
    <w:rsid w:val="00D65B2F"/>
    <w:rsid w:val="00D70F28"/>
    <w:rsid w:val="00D758C0"/>
    <w:rsid w:val="00D930DA"/>
    <w:rsid w:val="00DC352D"/>
    <w:rsid w:val="00DE1E47"/>
    <w:rsid w:val="00DF2A9D"/>
    <w:rsid w:val="00E042A2"/>
    <w:rsid w:val="00E05A37"/>
    <w:rsid w:val="00E05B5A"/>
    <w:rsid w:val="00E20687"/>
    <w:rsid w:val="00E526C0"/>
    <w:rsid w:val="00E5395A"/>
    <w:rsid w:val="00E60D71"/>
    <w:rsid w:val="00E764CB"/>
    <w:rsid w:val="00EA1B00"/>
    <w:rsid w:val="00EB4144"/>
    <w:rsid w:val="00EC6170"/>
    <w:rsid w:val="00ED28B9"/>
    <w:rsid w:val="00EF6AC7"/>
    <w:rsid w:val="00F14542"/>
    <w:rsid w:val="00F421F5"/>
    <w:rsid w:val="00F526C6"/>
    <w:rsid w:val="00F52E1B"/>
    <w:rsid w:val="00F82F1C"/>
    <w:rsid w:val="00F8363A"/>
    <w:rsid w:val="00FA6E57"/>
    <w:rsid w:val="00FB2FCC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B200EA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</cp:lastModifiedBy>
  <cp:revision>2</cp:revision>
  <dcterms:created xsi:type="dcterms:W3CDTF">2023-04-20T21:58:00Z</dcterms:created>
  <dcterms:modified xsi:type="dcterms:W3CDTF">2023-04-20T21:58:00Z</dcterms:modified>
</cp:coreProperties>
</file>